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7E31" w14:textId="77777777" w:rsidR="00786FB3" w:rsidRPr="004C1214" w:rsidRDefault="00786FB3" w:rsidP="00786FB3">
      <w:pPr>
        <w:spacing w:before="100" w:beforeAutospacing="1" w:after="100" w:afterAutospacing="1" w:line="240" w:lineRule="auto"/>
        <w:jc w:val="center"/>
        <w:rPr>
          <w:rFonts w:ascii="Times New Roman" w:eastAsia="Arial" w:hAnsi="Times New Roman"/>
          <w:b/>
          <w:smallCaps/>
          <w:sz w:val="24"/>
          <w:szCs w:val="24"/>
          <w:lang w:eastAsia="hu-HU"/>
        </w:rPr>
      </w:pPr>
      <w:r w:rsidRPr="004C1214">
        <w:rPr>
          <w:rFonts w:ascii="Times New Roman" w:eastAsia="Arial" w:hAnsi="Times New Roman"/>
          <w:b/>
          <w:smallCaps/>
          <w:sz w:val="24"/>
          <w:szCs w:val="24"/>
          <w:lang w:eastAsia="hu-HU"/>
        </w:rPr>
        <w:t>VISSZAÉLÉS BEJELENTÉSI RENDSZERHEZ KAPCSOLÓDÓ</w:t>
      </w:r>
    </w:p>
    <w:p w14:paraId="75C90905" w14:textId="77777777" w:rsidR="00786FB3" w:rsidRPr="004C1214" w:rsidRDefault="00786FB3" w:rsidP="00786FB3">
      <w:pPr>
        <w:spacing w:before="100" w:beforeAutospacing="1" w:after="100" w:afterAutospacing="1" w:line="240" w:lineRule="auto"/>
        <w:jc w:val="center"/>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ADATKEZELÉSI TÁJÉKOZTATÓ</w:t>
      </w:r>
    </w:p>
    <w:p w14:paraId="3C6C023F"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BEVEZETÉS</w:t>
      </w:r>
    </w:p>
    <w:p w14:paraId="169F076D"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„GDPR”) és az információs önrendelkezési jogról és az információszabadságról szóló 2011. évi CXII. törvény („</w:t>
      </w:r>
      <w:proofErr w:type="spellStart"/>
      <w:r w:rsidRPr="004C1214">
        <w:rPr>
          <w:rFonts w:ascii="Times New Roman" w:eastAsia="Arial" w:hAnsi="Times New Roman"/>
          <w:sz w:val="24"/>
          <w:szCs w:val="24"/>
          <w:lang w:eastAsia="hu-HU"/>
        </w:rPr>
        <w:t>Info</w:t>
      </w:r>
      <w:proofErr w:type="spellEnd"/>
      <w:r w:rsidRPr="004C1214">
        <w:rPr>
          <w:rFonts w:ascii="Times New Roman" w:eastAsia="Arial" w:hAnsi="Times New Roman"/>
          <w:sz w:val="24"/>
          <w:szCs w:val="24"/>
          <w:lang w:eastAsia="hu-HU"/>
        </w:rPr>
        <w:t xml:space="preserve"> tv.”) alapján a </w:t>
      </w:r>
      <w:r w:rsidRPr="004C1214">
        <w:rPr>
          <w:rFonts w:ascii="Times New Roman" w:eastAsia="Arial" w:hAnsi="Times New Roman"/>
          <w:b/>
          <w:bCs/>
          <w:sz w:val="24"/>
          <w:szCs w:val="24"/>
          <w:lang w:eastAsia="hu-HU"/>
        </w:rPr>
        <w:t xml:space="preserve">MAHARAT </w:t>
      </w:r>
      <w:proofErr w:type="spellStart"/>
      <w:r w:rsidRPr="004C1214">
        <w:rPr>
          <w:rFonts w:ascii="Times New Roman" w:eastAsia="Arial" w:hAnsi="Times New Roman"/>
          <w:b/>
          <w:bCs/>
          <w:sz w:val="24"/>
          <w:szCs w:val="24"/>
          <w:lang w:eastAsia="hu-HU"/>
        </w:rPr>
        <w:t>Passnave</w:t>
      </w:r>
      <w:proofErr w:type="spellEnd"/>
      <w:r w:rsidRPr="004C1214">
        <w:rPr>
          <w:rFonts w:ascii="Times New Roman" w:eastAsia="Arial" w:hAnsi="Times New Roman"/>
          <w:b/>
          <w:bCs/>
          <w:sz w:val="24"/>
          <w:szCs w:val="24"/>
          <w:lang w:eastAsia="hu-HU"/>
        </w:rPr>
        <w:t xml:space="preserve"> Személyhajózási Kft.</w:t>
      </w:r>
      <w:r w:rsidRPr="004C1214">
        <w:rPr>
          <w:rFonts w:ascii="Times New Roman" w:eastAsia="Arial" w:hAnsi="Times New Roman"/>
          <w:sz w:val="24"/>
          <w:szCs w:val="24"/>
          <w:lang w:eastAsia="hu-HU"/>
        </w:rPr>
        <w:t xml:space="preserve"> (1056 Budapest, Belgrád rakpart, a továbbiakban „Társaság”, vagy „Adatkezelő”) a jelen tájékoztatást adja az Ön, mint az Adatkezelő által végzett a bejelentési rendszerhez kapcsolódó személyes adatkezelés szerinti Érintett számára. </w:t>
      </w:r>
    </w:p>
    <w:p w14:paraId="6DECA095"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I. ADATKEZELŐ MEGNEVEZÉSE ÉS ELÉRHETŐSÉGEI</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2"/>
        <w:gridCol w:w="5873"/>
      </w:tblGrid>
      <w:tr w:rsidR="00786FB3" w:rsidRPr="004C1214" w14:paraId="65EF29B4"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29D978FA"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Adatkezelő megnevezése</w:t>
            </w:r>
          </w:p>
        </w:tc>
        <w:tc>
          <w:tcPr>
            <w:tcW w:w="5873" w:type="dxa"/>
            <w:tcBorders>
              <w:top w:val="single" w:sz="4" w:space="0" w:color="000000"/>
              <w:left w:val="single" w:sz="4" w:space="0" w:color="000000"/>
              <w:bottom w:val="single" w:sz="4" w:space="0" w:color="000000"/>
              <w:right w:val="single" w:sz="4" w:space="0" w:color="000000"/>
            </w:tcBorders>
            <w:hideMark/>
          </w:tcPr>
          <w:p w14:paraId="1702EA9C"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MAHART PASSNAVE SZEMÉLYHAJÓZÁSI KFT.</w:t>
            </w:r>
          </w:p>
        </w:tc>
      </w:tr>
      <w:tr w:rsidR="00786FB3" w:rsidRPr="004C1214" w14:paraId="03461F45"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231FBFB9"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Adószám</w:t>
            </w:r>
          </w:p>
        </w:tc>
        <w:tc>
          <w:tcPr>
            <w:tcW w:w="5873" w:type="dxa"/>
            <w:tcBorders>
              <w:top w:val="single" w:sz="4" w:space="0" w:color="000000"/>
              <w:left w:val="single" w:sz="4" w:space="0" w:color="000000"/>
              <w:bottom w:val="single" w:sz="4" w:space="0" w:color="000000"/>
              <w:right w:val="single" w:sz="4" w:space="0" w:color="000000"/>
            </w:tcBorders>
          </w:tcPr>
          <w:p w14:paraId="140AF42D"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10894332-2-41</w:t>
            </w:r>
          </w:p>
        </w:tc>
      </w:tr>
      <w:tr w:rsidR="00786FB3" w:rsidRPr="004C1214" w14:paraId="28111146"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342A4108"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Cégjegyzékszám</w:t>
            </w:r>
          </w:p>
        </w:tc>
        <w:tc>
          <w:tcPr>
            <w:tcW w:w="5873" w:type="dxa"/>
            <w:tcBorders>
              <w:top w:val="single" w:sz="4" w:space="0" w:color="000000"/>
              <w:left w:val="single" w:sz="4" w:space="0" w:color="000000"/>
              <w:bottom w:val="single" w:sz="4" w:space="0" w:color="000000"/>
              <w:right w:val="single" w:sz="4" w:space="0" w:color="000000"/>
            </w:tcBorders>
          </w:tcPr>
          <w:p w14:paraId="540D94C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01-09-268781</w:t>
            </w:r>
          </w:p>
        </w:tc>
      </w:tr>
      <w:tr w:rsidR="00786FB3" w:rsidRPr="004C1214" w14:paraId="72C05B8F"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31D07DC0"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Postacím</w:t>
            </w:r>
          </w:p>
        </w:tc>
        <w:tc>
          <w:tcPr>
            <w:tcW w:w="5873" w:type="dxa"/>
            <w:tcBorders>
              <w:top w:val="single" w:sz="4" w:space="0" w:color="000000"/>
              <w:left w:val="single" w:sz="4" w:space="0" w:color="000000"/>
              <w:bottom w:val="single" w:sz="4" w:space="0" w:color="000000"/>
              <w:right w:val="single" w:sz="4" w:space="0" w:color="000000"/>
            </w:tcBorders>
          </w:tcPr>
          <w:p w14:paraId="267507F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1056 Budapest, Belgrád rakpart Nemzetközi Hajóállomás</w:t>
            </w:r>
          </w:p>
        </w:tc>
      </w:tr>
      <w:tr w:rsidR="00786FB3" w:rsidRPr="004C1214" w14:paraId="6DB137E4"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5885774E"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Székhely</w:t>
            </w:r>
          </w:p>
        </w:tc>
        <w:tc>
          <w:tcPr>
            <w:tcW w:w="5873" w:type="dxa"/>
            <w:tcBorders>
              <w:top w:val="single" w:sz="4" w:space="0" w:color="000000"/>
              <w:left w:val="single" w:sz="4" w:space="0" w:color="000000"/>
              <w:bottom w:val="single" w:sz="4" w:space="0" w:color="000000"/>
              <w:right w:val="single" w:sz="4" w:space="0" w:color="000000"/>
            </w:tcBorders>
          </w:tcPr>
          <w:p w14:paraId="133EDD01"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1056 Budapest, Belgrád rakpart Nemzetközi Hajóállomás</w:t>
            </w:r>
          </w:p>
        </w:tc>
      </w:tr>
      <w:tr w:rsidR="00786FB3" w:rsidRPr="004C1214" w14:paraId="47D6CAA6" w14:textId="77777777" w:rsidTr="00D35ADF">
        <w:tc>
          <w:tcPr>
            <w:tcW w:w="3112" w:type="dxa"/>
            <w:vMerge w:val="restart"/>
            <w:tcBorders>
              <w:top w:val="single" w:sz="4" w:space="0" w:color="000000"/>
              <w:left w:val="single" w:sz="4" w:space="0" w:color="000000"/>
              <w:bottom w:val="single" w:sz="4" w:space="0" w:color="000000"/>
              <w:right w:val="single" w:sz="4" w:space="0" w:color="000000"/>
            </w:tcBorders>
            <w:hideMark/>
          </w:tcPr>
          <w:p w14:paraId="42BA1F70"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Telephely/Fióktelephelyei</w:t>
            </w:r>
          </w:p>
        </w:tc>
        <w:tc>
          <w:tcPr>
            <w:tcW w:w="5873" w:type="dxa"/>
            <w:tcBorders>
              <w:top w:val="single" w:sz="4" w:space="0" w:color="000000"/>
              <w:left w:val="single" w:sz="4" w:space="0" w:color="000000"/>
              <w:bottom w:val="single" w:sz="4" w:space="0" w:color="000000"/>
              <w:right w:val="single" w:sz="4" w:space="0" w:color="000000"/>
            </w:tcBorders>
          </w:tcPr>
          <w:p w14:paraId="7954DE08"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1015 Budapest Bem téri Hajóállomás.</w:t>
            </w:r>
          </w:p>
        </w:tc>
      </w:tr>
      <w:tr w:rsidR="00786FB3" w:rsidRPr="004C1214" w14:paraId="3915B5CC" w14:textId="77777777" w:rsidTr="00D35ADF">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162911F5"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5873" w:type="dxa"/>
            <w:tcBorders>
              <w:top w:val="single" w:sz="4" w:space="0" w:color="000000"/>
              <w:left w:val="single" w:sz="4" w:space="0" w:color="000000"/>
              <w:bottom w:val="single" w:sz="4" w:space="0" w:color="000000"/>
              <w:right w:val="single" w:sz="4" w:space="0" w:color="000000"/>
            </w:tcBorders>
          </w:tcPr>
          <w:p w14:paraId="40A29AB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1044 Budapest Újpest - Népsziget</w:t>
            </w:r>
          </w:p>
        </w:tc>
      </w:tr>
      <w:tr w:rsidR="00786FB3" w:rsidRPr="004C1214" w14:paraId="21E8A3FC" w14:textId="77777777" w:rsidTr="00D35ADF">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10EC14C0"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5873" w:type="dxa"/>
            <w:tcBorders>
              <w:top w:val="single" w:sz="4" w:space="0" w:color="000000"/>
              <w:left w:val="single" w:sz="4" w:space="0" w:color="000000"/>
              <w:bottom w:val="single" w:sz="4" w:space="0" w:color="000000"/>
              <w:right w:val="single" w:sz="4" w:space="0" w:color="000000"/>
            </w:tcBorders>
          </w:tcPr>
          <w:p w14:paraId="4BE4C1B9"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2500 Esztergom, hrsz. 16355/3.</w:t>
            </w:r>
          </w:p>
        </w:tc>
      </w:tr>
      <w:tr w:rsidR="00786FB3" w:rsidRPr="004C1214" w14:paraId="60279B30" w14:textId="77777777" w:rsidTr="00D35ADF">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74E7C2DA"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5873" w:type="dxa"/>
            <w:tcBorders>
              <w:top w:val="single" w:sz="4" w:space="0" w:color="000000"/>
              <w:left w:val="single" w:sz="4" w:space="0" w:color="000000"/>
              <w:bottom w:val="single" w:sz="4" w:space="0" w:color="000000"/>
              <w:right w:val="single" w:sz="4" w:space="0" w:color="000000"/>
            </w:tcBorders>
          </w:tcPr>
          <w:p w14:paraId="7A2B09E5"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2900 Komárom, belterület utca 788/5 hrsz.</w:t>
            </w:r>
          </w:p>
        </w:tc>
      </w:tr>
      <w:tr w:rsidR="00786FB3" w:rsidRPr="004C1214" w14:paraId="170B8A71" w14:textId="77777777" w:rsidTr="00D35ADF">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6A796A29"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5873" w:type="dxa"/>
            <w:tcBorders>
              <w:top w:val="single" w:sz="4" w:space="0" w:color="000000"/>
              <w:left w:val="single" w:sz="4" w:space="0" w:color="000000"/>
              <w:bottom w:val="single" w:sz="4" w:space="0" w:color="000000"/>
              <w:right w:val="single" w:sz="4" w:space="0" w:color="000000"/>
            </w:tcBorders>
          </w:tcPr>
          <w:p w14:paraId="4EEA8C0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2500 Esztergom, belterület utca 16325/1 hrsz.</w:t>
            </w:r>
          </w:p>
        </w:tc>
      </w:tr>
      <w:tr w:rsidR="00786FB3" w:rsidRPr="004C1214" w14:paraId="65F214E6"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30CAE1F9"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highlight w:val="yellow"/>
                <w:lang w:eastAsia="hu-HU"/>
              </w:rPr>
            </w:pPr>
            <w:r w:rsidRPr="004C1214">
              <w:rPr>
                <w:rFonts w:ascii="Times New Roman" w:eastAsia="Arial" w:hAnsi="Times New Roman"/>
                <w:b/>
                <w:sz w:val="24"/>
                <w:szCs w:val="24"/>
                <w:lang w:eastAsia="hu-HU"/>
              </w:rPr>
              <w:t>Telefon</w:t>
            </w:r>
          </w:p>
        </w:tc>
        <w:tc>
          <w:tcPr>
            <w:tcW w:w="5873" w:type="dxa"/>
            <w:tcBorders>
              <w:top w:val="single" w:sz="4" w:space="0" w:color="000000"/>
              <w:left w:val="single" w:sz="4" w:space="0" w:color="000000"/>
              <w:bottom w:val="single" w:sz="4" w:space="0" w:color="000000"/>
              <w:right w:val="single" w:sz="4" w:space="0" w:color="000000"/>
            </w:tcBorders>
          </w:tcPr>
          <w:p w14:paraId="724BEDE3"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+36 1 484-4013</w:t>
            </w:r>
          </w:p>
        </w:tc>
      </w:tr>
      <w:tr w:rsidR="00786FB3" w:rsidRPr="004C1214" w14:paraId="4DB293FF" w14:textId="77777777" w:rsidTr="00D35ADF">
        <w:tc>
          <w:tcPr>
            <w:tcW w:w="3112" w:type="dxa"/>
            <w:tcBorders>
              <w:top w:val="single" w:sz="4" w:space="0" w:color="000000"/>
              <w:left w:val="single" w:sz="4" w:space="0" w:color="000000"/>
              <w:bottom w:val="single" w:sz="4" w:space="0" w:color="000000"/>
              <w:right w:val="single" w:sz="4" w:space="0" w:color="000000"/>
            </w:tcBorders>
            <w:hideMark/>
          </w:tcPr>
          <w:p w14:paraId="1318AA14"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highlight w:val="yellow"/>
                <w:lang w:eastAsia="hu-HU"/>
              </w:rPr>
            </w:pPr>
            <w:r w:rsidRPr="004C1214">
              <w:rPr>
                <w:rFonts w:ascii="Times New Roman" w:eastAsia="Arial" w:hAnsi="Times New Roman"/>
                <w:b/>
                <w:sz w:val="24"/>
                <w:szCs w:val="24"/>
                <w:lang w:eastAsia="hu-HU"/>
              </w:rPr>
              <w:t>E-mail</w:t>
            </w:r>
          </w:p>
        </w:tc>
        <w:tc>
          <w:tcPr>
            <w:tcW w:w="5873" w:type="dxa"/>
            <w:tcBorders>
              <w:top w:val="single" w:sz="4" w:space="0" w:color="000000"/>
              <w:left w:val="single" w:sz="4" w:space="0" w:color="000000"/>
              <w:bottom w:val="single" w:sz="4" w:space="0" w:color="000000"/>
              <w:right w:val="single" w:sz="4" w:space="0" w:color="000000"/>
            </w:tcBorders>
          </w:tcPr>
          <w:p w14:paraId="344171A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visszaeles-bejelentes@</w:t>
            </w:r>
            <w:hyperlink r:id="rId5" w:history="1">
              <w:r w:rsidRPr="004C1214">
                <w:rPr>
                  <w:rStyle w:val="Hiperhivatkozs"/>
                  <w:rFonts w:ascii="Times New Roman" w:eastAsia="Arial" w:hAnsi="Times New Roman"/>
                  <w:sz w:val="24"/>
                  <w:szCs w:val="24"/>
                  <w:lang w:eastAsia="hu-HU"/>
                </w:rPr>
                <w:t>mahartpassnave.hu</w:t>
              </w:r>
            </w:hyperlink>
          </w:p>
        </w:tc>
      </w:tr>
    </w:tbl>
    <w:p w14:paraId="56E48689"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II. ADATKEZELÉSEK</w:t>
      </w:r>
    </w:p>
    <w:p w14:paraId="180A1B00"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mallCaps/>
          <w:sz w:val="24"/>
          <w:szCs w:val="24"/>
          <w:lang w:eastAsia="hu-HU"/>
        </w:rPr>
      </w:pPr>
      <w:r w:rsidRPr="004C1214">
        <w:rPr>
          <w:rFonts w:ascii="Times New Roman" w:eastAsia="Arial" w:hAnsi="Times New Roman"/>
          <w:b/>
          <w:smallCaps/>
          <w:sz w:val="24"/>
          <w:szCs w:val="24"/>
          <w:lang w:eastAsia="hu-HU"/>
        </w:rPr>
        <w:t>II.1. ETIKAI PANASZ ÉS VISSZAÉLÉSBEJELENTÉSI RENDSZER ÜZEMELTETÉSE</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6741"/>
      </w:tblGrid>
      <w:tr w:rsidR="00786FB3" w:rsidRPr="004C1214" w14:paraId="1DD2B126"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56BA91AF"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 célja</w:t>
            </w:r>
          </w:p>
        </w:tc>
        <w:tc>
          <w:tcPr>
            <w:tcW w:w="6741" w:type="dxa"/>
            <w:tcBorders>
              <w:top w:val="single" w:sz="4" w:space="0" w:color="000000"/>
              <w:left w:val="single" w:sz="4" w:space="0" w:color="000000"/>
              <w:bottom w:val="single" w:sz="4" w:space="0" w:color="000000"/>
              <w:right w:val="single" w:sz="4" w:space="0" w:color="000000"/>
            </w:tcBorders>
          </w:tcPr>
          <w:p w14:paraId="4E73D9B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Etikai panasz és visszaélésbejelentési rendszer üzemeltetése</w:t>
            </w:r>
          </w:p>
          <w:p w14:paraId="4D750878"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r>
      <w:tr w:rsidR="00786FB3" w:rsidRPr="004C1214" w14:paraId="57E6555B"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36E2B235"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Kezelt személyes adatok</w:t>
            </w:r>
          </w:p>
        </w:tc>
        <w:tc>
          <w:tcPr>
            <w:tcW w:w="6741" w:type="dxa"/>
            <w:tcBorders>
              <w:top w:val="single" w:sz="4" w:space="0" w:color="000000"/>
              <w:left w:val="single" w:sz="4" w:space="0" w:color="000000"/>
              <w:bottom w:val="single" w:sz="4" w:space="0" w:color="000000"/>
              <w:right w:val="single" w:sz="4" w:space="0" w:color="000000"/>
            </w:tcBorders>
          </w:tcPr>
          <w:p w14:paraId="31DB65F5" w14:textId="77777777" w:rsidR="00786FB3" w:rsidRPr="004C1214" w:rsidRDefault="00786FB3" w:rsidP="00786FB3">
            <w:pPr>
              <w:numPr>
                <w:ilvl w:val="0"/>
                <w:numId w:val="1"/>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b/>
                <w:sz w:val="24"/>
                <w:szCs w:val="24"/>
                <w:lang w:eastAsia="hu-HU"/>
              </w:rPr>
              <w:t>Ha nem anonim a bejelentés</w:t>
            </w:r>
            <w:r w:rsidRPr="004C1214">
              <w:rPr>
                <w:rFonts w:ascii="Times New Roman" w:eastAsia="Arial" w:hAnsi="Times New Roman"/>
                <w:sz w:val="24"/>
                <w:szCs w:val="24"/>
                <w:lang w:eastAsia="hu-HU"/>
              </w:rPr>
              <w:t xml:space="preserve">: </w:t>
            </w:r>
          </w:p>
          <w:p w14:paraId="48E34584"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Bejelentő személyes adatai (név, e-mail cím, postai cím, telefonszám) </w:t>
            </w:r>
          </w:p>
          <w:p w14:paraId="51EEA6CE"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tanúként megjelölt személyek személyes adatai </w:t>
            </w:r>
          </w:p>
          <w:p w14:paraId="4B81FC1C"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Bejelentés tartalma, a leírás során megadott egyéb személyes adatok </w:t>
            </w:r>
          </w:p>
          <w:p w14:paraId="54B19EC1" w14:textId="77777777" w:rsidR="00786FB3" w:rsidRPr="004C1214" w:rsidRDefault="00786FB3" w:rsidP="00786FB3">
            <w:pPr>
              <w:numPr>
                <w:ilvl w:val="0"/>
                <w:numId w:val="1"/>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b/>
                <w:sz w:val="24"/>
                <w:szCs w:val="24"/>
                <w:lang w:eastAsia="hu-HU"/>
              </w:rPr>
              <w:lastRenderedPageBreak/>
              <w:t>Ha anonim bejelentés</w:t>
            </w:r>
            <w:r w:rsidRPr="004C1214">
              <w:rPr>
                <w:rFonts w:ascii="Times New Roman" w:eastAsia="Arial" w:hAnsi="Times New Roman"/>
                <w:sz w:val="24"/>
                <w:szCs w:val="24"/>
                <w:lang w:eastAsia="hu-HU"/>
              </w:rPr>
              <w:t xml:space="preserve">: </w:t>
            </w:r>
          </w:p>
          <w:p w14:paraId="3D24311F"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személy személyes adatai </w:t>
            </w:r>
          </w:p>
          <w:p w14:paraId="307D5864"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és különleges személyes adatok</w:t>
            </w:r>
          </w:p>
          <w:p w14:paraId="53B4BDE8" w14:textId="77777777" w:rsidR="00786FB3" w:rsidRPr="004C1214" w:rsidRDefault="00786FB3" w:rsidP="00D35ADF">
            <w:pPr>
              <w:spacing w:before="100" w:beforeAutospacing="1" w:after="100" w:afterAutospacing="1" w:line="240" w:lineRule="auto"/>
              <w:ind w:left="360"/>
              <w:jc w:val="both"/>
              <w:rPr>
                <w:rFonts w:ascii="Times New Roman" w:eastAsia="Arial" w:hAnsi="Times New Roman"/>
                <w:sz w:val="24"/>
                <w:szCs w:val="24"/>
                <w:lang w:eastAsia="hu-HU"/>
              </w:rPr>
            </w:pPr>
          </w:p>
        </w:tc>
      </w:tr>
      <w:tr w:rsidR="00786FB3" w:rsidRPr="004C1214" w14:paraId="5B9DA77D" w14:textId="77777777" w:rsidTr="00D35ADF">
        <w:trPr>
          <w:trHeight w:val="2985"/>
        </w:trPr>
        <w:tc>
          <w:tcPr>
            <w:tcW w:w="2604" w:type="dxa"/>
            <w:tcBorders>
              <w:top w:val="single" w:sz="4" w:space="0" w:color="000000"/>
              <w:left w:val="single" w:sz="4" w:space="0" w:color="000000"/>
              <w:bottom w:val="single" w:sz="4" w:space="0" w:color="000000"/>
              <w:right w:val="single" w:sz="4" w:space="0" w:color="000000"/>
            </w:tcBorders>
            <w:hideMark/>
          </w:tcPr>
          <w:p w14:paraId="3A65695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lastRenderedPageBreak/>
              <w:t>Adatkezelés jogalapja</w:t>
            </w:r>
          </w:p>
        </w:tc>
        <w:tc>
          <w:tcPr>
            <w:tcW w:w="6741" w:type="dxa"/>
            <w:tcBorders>
              <w:top w:val="single" w:sz="4" w:space="0" w:color="000000"/>
              <w:left w:val="single" w:sz="4" w:space="0" w:color="000000"/>
              <w:bottom w:val="single" w:sz="4" w:space="0" w:color="000000"/>
              <w:right w:val="single" w:sz="4" w:space="0" w:color="000000"/>
            </w:tcBorders>
          </w:tcPr>
          <w:p w14:paraId="5F87DE70"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GDPR 6. cikk (1) f) és 9. cikk (2) bekezdés b) és g) pontjai (az adatkezelés az adatkezelők jogos érdekeinek érvényesítéséhez szükséges). </w:t>
            </w:r>
          </w:p>
          <w:p w14:paraId="7A6D5DBA"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 jogos érdek: </w:t>
            </w:r>
          </w:p>
          <w:p w14:paraId="50B1B01D"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 vagyonát, üzleti titkait, szellemi tulajdonát és üzleti hírnevét, valamint a megfelelő, tiszteleten alapuló és félelem-, valamint megtorlásmentes munkakörnyezetet veszélyeztető szabálytalanságok megelőzése, feltárása és a felelős személyek felelősségre vonása. (tovább az érdekmérlegelési teszthez)</w:t>
            </w:r>
          </w:p>
          <w:p w14:paraId="4BBE3901"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1BAD1245"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4A2F553B"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Adattárolási idő</w:t>
            </w:r>
          </w:p>
        </w:tc>
        <w:tc>
          <w:tcPr>
            <w:tcW w:w="6741" w:type="dxa"/>
            <w:tcBorders>
              <w:top w:val="single" w:sz="4" w:space="0" w:color="000000"/>
              <w:left w:val="single" w:sz="4" w:space="0" w:color="000000"/>
              <w:bottom w:val="single" w:sz="4" w:space="0" w:color="000000"/>
              <w:right w:val="single" w:sz="4" w:space="0" w:color="000000"/>
            </w:tcBorders>
          </w:tcPr>
          <w:p w14:paraId="14E584B7"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Ha a vizsgálat alapján a bejelentés nem megalapozott vagy további intézkedés megtétele nem szükséges, a bejelentésre vonatkozó adatokat a vizsgálat befejezését követő 60 napon belül törölni kell. </w:t>
            </w:r>
          </w:p>
          <w:p w14:paraId="44211082"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Ha a vizsgálat alapján intézkedés megtételére kerül sor - ideértve a bejelentővel szemben jogi eljárás vagy fegyelmi intézkedés megtétele miatti intézkedést is - a bejelentésre vonatkozó adatokat a bejelentési rendszer keretei között legfeljebb a bejelentés alapján indított eljárások jogerős lezárásáig lehet kezelni.</w:t>
            </w:r>
          </w:p>
          <w:p w14:paraId="438335A0"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2FD38411"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59A29E0F"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Címzettek</w:t>
            </w:r>
          </w:p>
        </w:tc>
        <w:tc>
          <w:tcPr>
            <w:tcW w:w="6741" w:type="dxa"/>
            <w:tcBorders>
              <w:top w:val="single" w:sz="4" w:space="0" w:color="000000"/>
              <w:left w:val="single" w:sz="4" w:space="0" w:color="000000"/>
              <w:bottom w:val="single" w:sz="4" w:space="0" w:color="000000"/>
              <w:right w:val="single" w:sz="4" w:space="0" w:color="000000"/>
            </w:tcBorders>
          </w:tcPr>
          <w:p w14:paraId="4E9679B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bejelentés kivizsgálása során szükség szerint igénybe vett külső személyek és szervezetek</w:t>
            </w:r>
          </w:p>
          <w:p w14:paraId="7DC9551F"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28B05B3F" w14:textId="77777777" w:rsidTr="00D35ADF">
        <w:trPr>
          <w:trHeight w:val="580"/>
        </w:trPr>
        <w:tc>
          <w:tcPr>
            <w:tcW w:w="2604" w:type="dxa"/>
            <w:vMerge w:val="restart"/>
            <w:tcBorders>
              <w:top w:val="single" w:sz="4" w:space="0" w:color="000000"/>
              <w:left w:val="single" w:sz="4" w:space="0" w:color="000000"/>
              <w:bottom w:val="single" w:sz="4" w:space="0" w:color="000000"/>
              <w:right w:val="single" w:sz="4" w:space="0" w:color="000000"/>
            </w:tcBorders>
            <w:hideMark/>
          </w:tcPr>
          <w:p w14:paraId="607E591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Érintetti jogok</w:t>
            </w:r>
          </w:p>
        </w:tc>
        <w:tc>
          <w:tcPr>
            <w:tcW w:w="6741" w:type="dxa"/>
            <w:tcBorders>
              <w:top w:val="single" w:sz="4" w:space="0" w:color="000000"/>
              <w:left w:val="single" w:sz="4" w:space="0" w:color="000000"/>
              <w:bottom w:val="single" w:sz="4" w:space="0" w:color="000000"/>
              <w:right w:val="single" w:sz="4" w:space="0" w:color="000000"/>
            </w:tcBorders>
          </w:tcPr>
          <w:p w14:paraId="6A2D9EAD"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hozzáféréshez, a helyesbítéshez, a törléshez és az adatok kezelésének korlátozásához való jog.</w:t>
            </w:r>
          </w:p>
          <w:p w14:paraId="732D3753"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6358B0A8" w14:textId="77777777" w:rsidTr="00D35ADF">
        <w:trPr>
          <w:trHeight w:val="580"/>
        </w:trPr>
        <w:tc>
          <w:tcPr>
            <w:tcW w:w="2604" w:type="dxa"/>
            <w:vMerge/>
            <w:tcBorders>
              <w:top w:val="single" w:sz="4" w:space="0" w:color="000000"/>
              <w:left w:val="single" w:sz="4" w:space="0" w:color="000000"/>
              <w:bottom w:val="single" w:sz="4" w:space="0" w:color="000000"/>
              <w:right w:val="single" w:sz="4" w:space="0" w:color="000000"/>
            </w:tcBorders>
            <w:vAlign w:val="center"/>
            <w:hideMark/>
          </w:tcPr>
          <w:p w14:paraId="10A94F8A"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6741" w:type="dxa"/>
            <w:tcBorders>
              <w:top w:val="single" w:sz="4" w:space="0" w:color="000000"/>
              <w:left w:val="single" w:sz="4" w:space="0" w:color="000000"/>
              <w:bottom w:val="single" w:sz="4" w:space="0" w:color="000000"/>
              <w:right w:val="single" w:sz="4" w:space="0" w:color="000000"/>
            </w:tcBorders>
          </w:tcPr>
          <w:p w14:paraId="4A5D17D5"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u w:val="single"/>
                <w:lang w:eastAsia="hu-HU"/>
              </w:rPr>
              <w:t>FIGYELEM!</w:t>
            </w:r>
            <w:r w:rsidRPr="004C1214">
              <w:rPr>
                <w:rFonts w:ascii="Times New Roman" w:eastAsia="Arial" w:hAnsi="Times New Roman"/>
                <w:sz w:val="24"/>
                <w:szCs w:val="24"/>
                <w:lang w:eastAsia="hu-HU"/>
              </w:rPr>
              <w:t xml:space="preserve"> Az érintett bármikor jogosult – saját helyzetével összefüggő okból – tiltakozni a fenti adatkezelés ellen a fent jelzett elérhetőségeinek valamelyikén. </w:t>
            </w:r>
          </w:p>
          <w:p w14:paraId="706810C8"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bl>
    <w:p w14:paraId="5C7DFB5D"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mallCaps/>
          <w:sz w:val="24"/>
          <w:szCs w:val="24"/>
          <w:lang w:eastAsia="hu-HU"/>
        </w:rPr>
      </w:pPr>
      <w:r w:rsidRPr="004C1214">
        <w:rPr>
          <w:rFonts w:ascii="Times New Roman" w:eastAsia="Arial" w:hAnsi="Times New Roman"/>
          <w:b/>
          <w:smallCaps/>
          <w:sz w:val="24"/>
          <w:szCs w:val="24"/>
          <w:lang w:eastAsia="hu-HU"/>
        </w:rPr>
        <w:lastRenderedPageBreak/>
        <w:t>II.2. PANASZ ÉS BEJELENTÉS KIVIZSGÁLÁSA, ELBÍRÁLÁSA ÉS EZEK ALAPJÁN JAVÍTÓ INTÉZKEDÉSEK MEGTÉTELE, KÖVETKEZMÉNYKEZELÉS</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6742"/>
      </w:tblGrid>
      <w:tr w:rsidR="00786FB3" w:rsidRPr="004C1214" w14:paraId="12910DE6"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682112EC"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 célja</w:t>
            </w:r>
          </w:p>
        </w:tc>
        <w:tc>
          <w:tcPr>
            <w:tcW w:w="6746" w:type="dxa"/>
            <w:tcBorders>
              <w:top w:val="single" w:sz="4" w:space="0" w:color="000000"/>
              <w:left w:val="single" w:sz="4" w:space="0" w:color="000000"/>
              <w:bottom w:val="single" w:sz="4" w:space="0" w:color="000000"/>
              <w:right w:val="single" w:sz="4" w:space="0" w:color="000000"/>
            </w:tcBorders>
          </w:tcPr>
          <w:p w14:paraId="57DFD667"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Panasz és bejelentés kivizsgálása, elbírálása és ezek alapján javító intézkedések megtétele, következménykezelés</w:t>
            </w:r>
          </w:p>
          <w:p w14:paraId="4131121F"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p>
        </w:tc>
      </w:tr>
      <w:tr w:rsidR="00786FB3" w:rsidRPr="004C1214" w14:paraId="0097F3D7"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61CEF3D7"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Kezelt személyes adatok</w:t>
            </w:r>
          </w:p>
        </w:tc>
        <w:tc>
          <w:tcPr>
            <w:tcW w:w="6746" w:type="dxa"/>
            <w:tcBorders>
              <w:top w:val="single" w:sz="4" w:space="0" w:color="000000"/>
              <w:left w:val="single" w:sz="4" w:space="0" w:color="000000"/>
              <w:bottom w:val="single" w:sz="4" w:space="0" w:color="000000"/>
              <w:right w:val="single" w:sz="4" w:space="0" w:color="000000"/>
            </w:tcBorders>
          </w:tcPr>
          <w:p w14:paraId="5B6D5D4A" w14:textId="77777777" w:rsidR="00786FB3" w:rsidRPr="004C1214" w:rsidRDefault="00786FB3" w:rsidP="00786FB3">
            <w:pPr>
              <w:numPr>
                <w:ilvl w:val="0"/>
                <w:numId w:val="2"/>
              </w:num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b/>
                <w:sz w:val="24"/>
                <w:szCs w:val="24"/>
                <w:lang w:eastAsia="hu-HU"/>
              </w:rPr>
              <w:t>Ha nem anonim a bejelentés</w:t>
            </w:r>
            <w:r w:rsidRPr="004C1214">
              <w:rPr>
                <w:rFonts w:ascii="Times New Roman" w:eastAsia="Arial" w:hAnsi="Times New Roman"/>
                <w:sz w:val="24"/>
                <w:szCs w:val="24"/>
                <w:lang w:eastAsia="hu-HU"/>
              </w:rPr>
              <w:t xml:space="preserve">: </w:t>
            </w:r>
          </w:p>
          <w:p w14:paraId="0DA0C617"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Bejelentő személyes adatai (név, e-mail cím, postai cím, telefonszám) </w:t>
            </w:r>
          </w:p>
          <w:p w14:paraId="6BDC0A8A"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tanúként megjelölt személyek személyes adatai </w:t>
            </w:r>
          </w:p>
          <w:p w14:paraId="738D3416"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adatok</w:t>
            </w:r>
          </w:p>
          <w:p w14:paraId="0B1415D3" w14:textId="77777777" w:rsidR="00786FB3" w:rsidRPr="004C1214" w:rsidRDefault="00786FB3" w:rsidP="00786FB3">
            <w:pPr>
              <w:numPr>
                <w:ilvl w:val="0"/>
                <w:numId w:val="2"/>
              </w:num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b/>
                <w:sz w:val="24"/>
                <w:szCs w:val="24"/>
                <w:lang w:eastAsia="hu-HU"/>
              </w:rPr>
              <w:t>Ha anonim bejelentés</w:t>
            </w:r>
            <w:r w:rsidRPr="004C1214">
              <w:rPr>
                <w:rFonts w:ascii="Times New Roman" w:eastAsia="Arial" w:hAnsi="Times New Roman"/>
                <w:sz w:val="24"/>
                <w:szCs w:val="24"/>
                <w:lang w:eastAsia="hu-HU"/>
              </w:rPr>
              <w:t xml:space="preserve">: </w:t>
            </w:r>
          </w:p>
          <w:p w14:paraId="1C95ED70"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személy személyes adatai </w:t>
            </w:r>
          </w:p>
          <w:p w14:paraId="3EC2947D"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és különleges személyes adatok</w:t>
            </w:r>
          </w:p>
          <w:p w14:paraId="49C75F18" w14:textId="77777777" w:rsidR="00786FB3" w:rsidRPr="004C1214" w:rsidRDefault="00786FB3" w:rsidP="00D35ADF">
            <w:pPr>
              <w:spacing w:before="100" w:beforeAutospacing="1" w:after="100" w:afterAutospacing="1" w:line="240" w:lineRule="auto"/>
              <w:ind w:left="360"/>
              <w:rPr>
                <w:rFonts w:ascii="Times New Roman" w:eastAsia="Arial" w:hAnsi="Times New Roman"/>
                <w:sz w:val="24"/>
                <w:szCs w:val="24"/>
                <w:lang w:eastAsia="hu-HU"/>
              </w:rPr>
            </w:pPr>
          </w:p>
        </w:tc>
      </w:tr>
      <w:tr w:rsidR="00786FB3" w:rsidRPr="004C1214" w14:paraId="1F7694D1"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60722398"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 jogalapja</w:t>
            </w:r>
          </w:p>
        </w:tc>
        <w:tc>
          <w:tcPr>
            <w:tcW w:w="6746" w:type="dxa"/>
            <w:tcBorders>
              <w:top w:val="single" w:sz="4" w:space="0" w:color="000000"/>
              <w:left w:val="single" w:sz="4" w:space="0" w:color="000000"/>
              <w:bottom w:val="single" w:sz="4" w:space="0" w:color="000000"/>
              <w:right w:val="single" w:sz="4" w:space="0" w:color="000000"/>
            </w:tcBorders>
          </w:tcPr>
          <w:p w14:paraId="15CC69A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GDPR 6. cikk (1) f) és 9. cikk (2) bekezdés b) és g) pontjai (az adatkezelés az adatkezelők jogos érdekeinek érvényesítéséhez szükséges). </w:t>
            </w:r>
          </w:p>
          <w:p w14:paraId="5DFE9631"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jogos érdek: az adatkezelő vagyonát, üzleti titkait, szellemi tulajdonát és üzleti hírnevét, valamint a megfelelő, tiszteleten alapuló és félelem-, valamint megtorlásmentes munkakörnyezetet veszélyeztető szabálytalanságok megelőzése, feltárása és a felelős személyek felelősségre vonása.</w:t>
            </w:r>
          </w:p>
          <w:p w14:paraId="0AD4C42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4C5D46CA"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2337DEAF"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highlight w:val="yellow"/>
                <w:lang w:eastAsia="hu-HU"/>
              </w:rPr>
            </w:pPr>
            <w:r w:rsidRPr="004C1214">
              <w:rPr>
                <w:rFonts w:ascii="Times New Roman" w:eastAsia="Arial" w:hAnsi="Times New Roman"/>
                <w:b/>
                <w:sz w:val="24"/>
                <w:szCs w:val="24"/>
                <w:lang w:eastAsia="hu-HU"/>
              </w:rPr>
              <w:t>Adattárolási idő</w:t>
            </w:r>
          </w:p>
        </w:tc>
        <w:tc>
          <w:tcPr>
            <w:tcW w:w="6746" w:type="dxa"/>
            <w:tcBorders>
              <w:top w:val="single" w:sz="4" w:space="0" w:color="000000"/>
              <w:left w:val="single" w:sz="4" w:space="0" w:color="000000"/>
              <w:bottom w:val="single" w:sz="4" w:space="0" w:color="000000"/>
              <w:right w:val="single" w:sz="4" w:space="0" w:color="000000"/>
            </w:tcBorders>
          </w:tcPr>
          <w:p w14:paraId="3166A15D"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Ha a vizsgálat alapján a bejelentés nem megalapozott vagy további intézkedés megtétele nem szükséges, a bejelentésre vonatkozó adatokat a vizsgálat befejezését követő 60 napon belül törölni kell. </w:t>
            </w:r>
          </w:p>
          <w:p w14:paraId="494932B1"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p>
          <w:p w14:paraId="182A9C33"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Ha a vizsgálat alapján intézkedés megtételére kerül sor - ideértve a bejelentővel szemben jogi eljárás vagy fegyelmi intézkedés megtétele miatti intézkedést is - a bejelentésre vonatkozó adatokat a bejelentési rendszer keretei között legfeljebb a bejelentés alapján indított eljárások jogerős lezárásáig lehet kezelni.</w:t>
            </w:r>
          </w:p>
          <w:p w14:paraId="35B71995"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6B74AB0F" w14:textId="77777777" w:rsidTr="00D35ADF">
        <w:tc>
          <w:tcPr>
            <w:tcW w:w="2604" w:type="dxa"/>
            <w:tcBorders>
              <w:top w:val="single" w:sz="4" w:space="0" w:color="000000"/>
              <w:left w:val="single" w:sz="4" w:space="0" w:color="000000"/>
              <w:bottom w:val="single" w:sz="4" w:space="0" w:color="000000"/>
              <w:right w:val="single" w:sz="4" w:space="0" w:color="000000"/>
            </w:tcBorders>
            <w:hideMark/>
          </w:tcPr>
          <w:p w14:paraId="31718F2C"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lastRenderedPageBreak/>
              <w:t>Címzettek</w:t>
            </w:r>
          </w:p>
        </w:tc>
        <w:tc>
          <w:tcPr>
            <w:tcW w:w="6746" w:type="dxa"/>
            <w:tcBorders>
              <w:top w:val="single" w:sz="4" w:space="0" w:color="000000"/>
              <w:left w:val="single" w:sz="4" w:space="0" w:color="000000"/>
              <w:bottom w:val="single" w:sz="4" w:space="0" w:color="000000"/>
              <w:right w:val="single" w:sz="4" w:space="0" w:color="000000"/>
            </w:tcBorders>
          </w:tcPr>
          <w:p w14:paraId="6C8E520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bejelentés kivizsgálása során szükség szerint igénybe vett külső személyek és szervezetek</w:t>
            </w:r>
          </w:p>
          <w:p w14:paraId="2AED44C9"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331D751B" w14:textId="77777777" w:rsidTr="00D35ADF">
        <w:trPr>
          <w:trHeight w:val="580"/>
        </w:trPr>
        <w:tc>
          <w:tcPr>
            <w:tcW w:w="2604" w:type="dxa"/>
            <w:vMerge w:val="restart"/>
            <w:tcBorders>
              <w:top w:val="single" w:sz="4" w:space="0" w:color="000000"/>
              <w:left w:val="single" w:sz="4" w:space="0" w:color="000000"/>
              <w:bottom w:val="single" w:sz="4" w:space="0" w:color="000000"/>
              <w:right w:val="single" w:sz="4" w:space="0" w:color="000000"/>
            </w:tcBorders>
            <w:hideMark/>
          </w:tcPr>
          <w:p w14:paraId="75D348B2"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Érintetti jogok</w:t>
            </w:r>
          </w:p>
        </w:tc>
        <w:tc>
          <w:tcPr>
            <w:tcW w:w="6746" w:type="dxa"/>
            <w:tcBorders>
              <w:top w:val="single" w:sz="4" w:space="0" w:color="000000"/>
              <w:left w:val="single" w:sz="4" w:space="0" w:color="000000"/>
              <w:bottom w:val="single" w:sz="4" w:space="0" w:color="000000"/>
              <w:right w:val="single" w:sz="4" w:space="0" w:color="000000"/>
            </w:tcBorders>
          </w:tcPr>
          <w:p w14:paraId="4598C462"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hozzáféréshez, a helyesbítéshez, a törléshez és az adatok kezelésének korlátozásához való jog.</w:t>
            </w:r>
          </w:p>
          <w:p w14:paraId="10B2B6DA"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tc>
      </w:tr>
      <w:tr w:rsidR="00786FB3" w:rsidRPr="004C1214" w14:paraId="269B52DA" w14:textId="77777777" w:rsidTr="00D35ADF">
        <w:trPr>
          <w:trHeight w:val="580"/>
        </w:trPr>
        <w:tc>
          <w:tcPr>
            <w:tcW w:w="2604" w:type="dxa"/>
            <w:vMerge/>
            <w:tcBorders>
              <w:top w:val="single" w:sz="4" w:space="0" w:color="000000"/>
              <w:left w:val="single" w:sz="4" w:space="0" w:color="000000"/>
              <w:bottom w:val="single" w:sz="4" w:space="0" w:color="000000"/>
              <w:right w:val="single" w:sz="4" w:space="0" w:color="000000"/>
            </w:tcBorders>
            <w:vAlign w:val="center"/>
            <w:hideMark/>
          </w:tcPr>
          <w:p w14:paraId="0C225139"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6746" w:type="dxa"/>
            <w:tcBorders>
              <w:top w:val="single" w:sz="4" w:space="0" w:color="000000"/>
              <w:left w:val="single" w:sz="4" w:space="0" w:color="000000"/>
              <w:bottom w:val="single" w:sz="4" w:space="0" w:color="000000"/>
              <w:right w:val="single" w:sz="4" w:space="0" w:color="000000"/>
            </w:tcBorders>
          </w:tcPr>
          <w:p w14:paraId="1B92A4F7"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u w:val="single"/>
                <w:lang w:eastAsia="hu-HU"/>
              </w:rPr>
              <w:t>FIGYELEM!</w:t>
            </w:r>
            <w:r w:rsidRPr="004C1214">
              <w:rPr>
                <w:rFonts w:ascii="Times New Roman" w:eastAsia="Arial" w:hAnsi="Times New Roman"/>
                <w:sz w:val="24"/>
                <w:szCs w:val="24"/>
                <w:lang w:eastAsia="hu-HU"/>
              </w:rPr>
              <w:t xml:space="preserve"> Az érintett bármikor jogosult – saját helyzetével összefüggő okból – tiltakozni a fenti adatkezelés ellen a fent jelzett elérhetőségeinek valamelyikén. </w:t>
            </w:r>
          </w:p>
          <w:p w14:paraId="63CF667A"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p>
        </w:tc>
      </w:tr>
    </w:tbl>
    <w:p w14:paraId="2FC64AB1"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mallCaps/>
          <w:sz w:val="24"/>
          <w:szCs w:val="24"/>
          <w:lang w:eastAsia="hu-HU"/>
        </w:rPr>
      </w:pPr>
      <w:r w:rsidRPr="004C1214">
        <w:rPr>
          <w:rFonts w:ascii="Times New Roman" w:eastAsia="Arial" w:hAnsi="Times New Roman"/>
          <w:b/>
          <w:smallCaps/>
          <w:sz w:val="24"/>
          <w:szCs w:val="24"/>
          <w:lang w:eastAsia="hu-HU"/>
        </w:rPr>
        <w:t>II.3. KOMMUNIKÁCIÓ A BEJELENTŐVEL ÉS A BEJELENTÉSBEN ÉRINTETT SZEMÉLYEKKEL, ILLETVE HARMADIK FELEKKEL</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2"/>
        <w:gridCol w:w="6733"/>
      </w:tblGrid>
      <w:tr w:rsidR="00786FB3" w:rsidRPr="004C1214" w14:paraId="2836A8A5" w14:textId="77777777" w:rsidTr="00D35ADF">
        <w:tc>
          <w:tcPr>
            <w:tcW w:w="2613" w:type="dxa"/>
            <w:tcBorders>
              <w:top w:val="single" w:sz="4" w:space="0" w:color="000000"/>
              <w:left w:val="single" w:sz="4" w:space="0" w:color="000000"/>
              <w:bottom w:val="single" w:sz="4" w:space="0" w:color="000000"/>
              <w:right w:val="single" w:sz="4" w:space="0" w:color="000000"/>
            </w:tcBorders>
            <w:hideMark/>
          </w:tcPr>
          <w:p w14:paraId="652C2571"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 célja</w:t>
            </w:r>
          </w:p>
        </w:tc>
        <w:tc>
          <w:tcPr>
            <w:tcW w:w="6737" w:type="dxa"/>
            <w:tcBorders>
              <w:top w:val="single" w:sz="4" w:space="0" w:color="000000"/>
              <w:left w:val="single" w:sz="4" w:space="0" w:color="000000"/>
              <w:bottom w:val="single" w:sz="4" w:space="0" w:color="000000"/>
              <w:right w:val="single" w:sz="4" w:space="0" w:color="000000"/>
            </w:tcBorders>
          </w:tcPr>
          <w:p w14:paraId="69A54248"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Kommunikáció a bejelentővel és a bejelentésben érintett személyekkel, illetve 3. felekkel.</w:t>
            </w:r>
          </w:p>
          <w:p w14:paraId="03ECA305"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r>
      <w:tr w:rsidR="00786FB3" w:rsidRPr="004C1214" w14:paraId="74224834" w14:textId="77777777" w:rsidTr="00D35ADF">
        <w:tc>
          <w:tcPr>
            <w:tcW w:w="2613" w:type="dxa"/>
            <w:tcBorders>
              <w:top w:val="single" w:sz="4" w:space="0" w:color="000000"/>
              <w:left w:val="single" w:sz="4" w:space="0" w:color="000000"/>
              <w:bottom w:val="single" w:sz="4" w:space="0" w:color="000000"/>
              <w:right w:val="single" w:sz="4" w:space="0" w:color="000000"/>
            </w:tcBorders>
            <w:hideMark/>
          </w:tcPr>
          <w:p w14:paraId="53F093C3"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Kezelt személyes adatok</w:t>
            </w:r>
          </w:p>
        </w:tc>
        <w:tc>
          <w:tcPr>
            <w:tcW w:w="6737" w:type="dxa"/>
            <w:tcBorders>
              <w:top w:val="single" w:sz="4" w:space="0" w:color="000000"/>
              <w:left w:val="single" w:sz="4" w:space="0" w:color="000000"/>
              <w:bottom w:val="single" w:sz="4" w:space="0" w:color="000000"/>
              <w:right w:val="single" w:sz="4" w:space="0" w:color="000000"/>
            </w:tcBorders>
          </w:tcPr>
          <w:p w14:paraId="4F61872A"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 xml:space="preserve">Ha nem anonim a bejelentés: </w:t>
            </w:r>
          </w:p>
          <w:p w14:paraId="6B8B429A"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Bejelentő személyes adatai (név, e-mail cím, postai cím, telefonszám) </w:t>
            </w:r>
          </w:p>
          <w:p w14:paraId="588700CF"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A bejelentett és más a bejelentésben érintett, tanúként megjelölt személyek személyes adatai</w:t>
            </w:r>
          </w:p>
          <w:p w14:paraId="4E36F092"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adatok</w:t>
            </w:r>
          </w:p>
          <w:p w14:paraId="2CB7F60B" w14:textId="77777777" w:rsidR="00786FB3" w:rsidRPr="004C1214" w:rsidRDefault="00786FB3" w:rsidP="00D35ADF">
            <w:pPr>
              <w:spacing w:before="100" w:beforeAutospacing="1" w:after="100" w:afterAutospacing="1" w:line="240" w:lineRule="auto"/>
              <w:jc w:val="both"/>
              <w:rPr>
                <w:rFonts w:ascii="Times New Roman" w:eastAsia="Arial" w:hAnsi="Times New Roman"/>
                <w:b/>
                <w:sz w:val="24"/>
                <w:szCs w:val="24"/>
                <w:lang w:eastAsia="hu-HU"/>
              </w:rPr>
            </w:pPr>
            <w:r w:rsidRPr="004C1214">
              <w:rPr>
                <w:rFonts w:ascii="Times New Roman" w:eastAsia="Arial" w:hAnsi="Times New Roman"/>
                <w:b/>
                <w:sz w:val="24"/>
                <w:szCs w:val="24"/>
                <w:lang w:eastAsia="hu-HU"/>
              </w:rPr>
              <w:t xml:space="preserve">Ha anonim bejelentés: </w:t>
            </w:r>
          </w:p>
          <w:p w14:paraId="2866D82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személy személyes adatai </w:t>
            </w:r>
          </w:p>
          <w:p w14:paraId="0C7EB63F"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és különleges személyes adatok.</w:t>
            </w:r>
          </w:p>
        </w:tc>
      </w:tr>
      <w:tr w:rsidR="00786FB3" w:rsidRPr="004C1214" w14:paraId="05E468BE" w14:textId="77777777" w:rsidTr="00D35ADF">
        <w:tc>
          <w:tcPr>
            <w:tcW w:w="2613" w:type="dxa"/>
            <w:tcBorders>
              <w:top w:val="single" w:sz="4" w:space="0" w:color="000000"/>
              <w:left w:val="single" w:sz="4" w:space="0" w:color="000000"/>
              <w:bottom w:val="single" w:sz="4" w:space="0" w:color="000000"/>
              <w:right w:val="single" w:sz="4" w:space="0" w:color="000000"/>
            </w:tcBorders>
            <w:hideMark/>
          </w:tcPr>
          <w:p w14:paraId="6238F15E"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Adatkezelés jogalapja</w:t>
            </w:r>
          </w:p>
        </w:tc>
        <w:tc>
          <w:tcPr>
            <w:tcW w:w="6737" w:type="dxa"/>
            <w:tcBorders>
              <w:top w:val="single" w:sz="4" w:space="0" w:color="000000"/>
              <w:left w:val="single" w:sz="4" w:space="0" w:color="000000"/>
              <w:bottom w:val="single" w:sz="4" w:space="0" w:color="000000"/>
              <w:right w:val="single" w:sz="4" w:space="0" w:color="000000"/>
            </w:tcBorders>
          </w:tcPr>
          <w:p w14:paraId="3D90945E"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 xml:space="preserve">Ha nem anonim a bejelentés: </w:t>
            </w:r>
          </w:p>
          <w:p w14:paraId="6E989F3B"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Bejelentő személyes adatai (név, e-mail cím, postai cím, telefonszám) </w:t>
            </w:r>
          </w:p>
          <w:p w14:paraId="70218667"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A bejelentett és más a bejelentésben érintett, tanúként megjelölt személyek személyes adatai</w:t>
            </w:r>
          </w:p>
          <w:p w14:paraId="512E13E1"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lastRenderedPageBreak/>
              <w:t xml:space="preserve">• Bejelentés tartalma, a leírás során megadott egyéb személyes adatok </w:t>
            </w:r>
          </w:p>
          <w:p w14:paraId="6FBD7F51"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b/>
                <w:sz w:val="24"/>
                <w:szCs w:val="24"/>
                <w:lang w:eastAsia="hu-HU"/>
              </w:rPr>
              <w:t>Ha anonim bejelentés</w:t>
            </w:r>
            <w:r w:rsidRPr="004C1214">
              <w:rPr>
                <w:rFonts w:ascii="Times New Roman" w:eastAsia="Arial" w:hAnsi="Times New Roman"/>
                <w:sz w:val="24"/>
                <w:szCs w:val="24"/>
                <w:lang w:eastAsia="hu-HU"/>
              </w:rPr>
              <w:t xml:space="preserve">: </w:t>
            </w:r>
          </w:p>
          <w:p w14:paraId="53CA4BCC"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 A bejelentett és más a bejelentésben érintett személy személyes adatai </w:t>
            </w:r>
          </w:p>
          <w:p w14:paraId="12CAB73D"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Bejelentés tartalma, a leírás során megadott egyéb személyes és különleges személyes adatok.</w:t>
            </w:r>
          </w:p>
        </w:tc>
      </w:tr>
      <w:tr w:rsidR="00786FB3" w:rsidRPr="004C1214" w14:paraId="5E3388B3" w14:textId="77777777" w:rsidTr="00D35ADF">
        <w:tc>
          <w:tcPr>
            <w:tcW w:w="2613" w:type="dxa"/>
            <w:tcBorders>
              <w:top w:val="single" w:sz="4" w:space="0" w:color="000000"/>
              <w:left w:val="single" w:sz="4" w:space="0" w:color="000000"/>
              <w:bottom w:val="single" w:sz="4" w:space="0" w:color="000000"/>
              <w:right w:val="single" w:sz="4" w:space="0" w:color="000000"/>
            </w:tcBorders>
            <w:hideMark/>
          </w:tcPr>
          <w:p w14:paraId="269302B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lastRenderedPageBreak/>
              <w:t>Adattárolási idő</w:t>
            </w:r>
          </w:p>
        </w:tc>
        <w:tc>
          <w:tcPr>
            <w:tcW w:w="6737" w:type="dxa"/>
            <w:tcBorders>
              <w:top w:val="single" w:sz="4" w:space="0" w:color="000000"/>
              <w:left w:val="single" w:sz="4" w:space="0" w:color="000000"/>
              <w:bottom w:val="single" w:sz="4" w:space="0" w:color="000000"/>
              <w:right w:val="single" w:sz="4" w:space="0" w:color="000000"/>
            </w:tcBorders>
          </w:tcPr>
          <w:p w14:paraId="70DCCB99"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Ha a vizsgálat alapján a bejelentés nem megalapozott vagy további intézkedés megtétele nem szükséges, a bejelentésre vonatkozó adatokat a vizsgálat befejezését követő 60 napon belül törölni kell.</w:t>
            </w:r>
          </w:p>
          <w:p w14:paraId="617B9C99"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Ha a vizsgálat alapján intézkedés megtételére kerül sor - ideértve a bejelentővel szemben jogi eljárás vagy fegyelmi intézkedés megtétele miatti intézkedést is - a bejelentésre vonatkozó adatokat a bejelentési rendszer keretei között legfeljebb a bejelentés alapján indított eljárások jogerős lezárásáig lehet kezelni.</w:t>
            </w:r>
          </w:p>
        </w:tc>
      </w:tr>
      <w:tr w:rsidR="00786FB3" w:rsidRPr="004C1214" w14:paraId="3A07D65F" w14:textId="77777777" w:rsidTr="00D35ADF">
        <w:tc>
          <w:tcPr>
            <w:tcW w:w="2613" w:type="dxa"/>
            <w:tcBorders>
              <w:top w:val="single" w:sz="4" w:space="0" w:color="000000"/>
              <w:left w:val="single" w:sz="4" w:space="0" w:color="000000"/>
              <w:bottom w:val="single" w:sz="4" w:space="0" w:color="000000"/>
              <w:right w:val="single" w:sz="4" w:space="0" w:color="000000"/>
            </w:tcBorders>
            <w:hideMark/>
          </w:tcPr>
          <w:p w14:paraId="7A10232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Címzettek</w:t>
            </w:r>
          </w:p>
        </w:tc>
        <w:tc>
          <w:tcPr>
            <w:tcW w:w="6737" w:type="dxa"/>
            <w:tcBorders>
              <w:top w:val="single" w:sz="4" w:space="0" w:color="000000"/>
              <w:left w:val="single" w:sz="4" w:space="0" w:color="000000"/>
              <w:bottom w:val="single" w:sz="4" w:space="0" w:color="000000"/>
              <w:right w:val="single" w:sz="4" w:space="0" w:color="000000"/>
            </w:tcBorders>
          </w:tcPr>
          <w:p w14:paraId="5822619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bejelentés kivizsgálása során szükség szerint igénybe vett külső személyek és szervezetek</w:t>
            </w:r>
          </w:p>
        </w:tc>
      </w:tr>
      <w:tr w:rsidR="00786FB3" w:rsidRPr="004C1214" w14:paraId="420E89DC" w14:textId="77777777" w:rsidTr="00D35ADF">
        <w:trPr>
          <w:trHeight w:val="580"/>
        </w:trPr>
        <w:tc>
          <w:tcPr>
            <w:tcW w:w="2613" w:type="dxa"/>
            <w:vMerge w:val="restart"/>
            <w:tcBorders>
              <w:top w:val="single" w:sz="4" w:space="0" w:color="000000"/>
              <w:left w:val="single" w:sz="4" w:space="0" w:color="000000"/>
              <w:bottom w:val="single" w:sz="4" w:space="0" w:color="000000"/>
              <w:right w:val="single" w:sz="4" w:space="0" w:color="000000"/>
            </w:tcBorders>
            <w:hideMark/>
          </w:tcPr>
          <w:p w14:paraId="59B7CA89"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Érintetti jogok</w:t>
            </w:r>
          </w:p>
        </w:tc>
        <w:tc>
          <w:tcPr>
            <w:tcW w:w="6737" w:type="dxa"/>
            <w:tcBorders>
              <w:top w:val="single" w:sz="4" w:space="0" w:color="000000"/>
              <w:left w:val="single" w:sz="4" w:space="0" w:color="000000"/>
              <w:bottom w:val="single" w:sz="4" w:space="0" w:color="000000"/>
              <w:right w:val="single" w:sz="4" w:space="0" w:color="000000"/>
            </w:tcBorders>
            <w:hideMark/>
          </w:tcPr>
          <w:p w14:paraId="7AE1C34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hozzáféréshez, a helyesbítéshez, a törléshez és az adatok kezelésének korlátozásához való jog.</w:t>
            </w:r>
          </w:p>
        </w:tc>
      </w:tr>
      <w:tr w:rsidR="00786FB3" w:rsidRPr="004C1214" w14:paraId="6BE23B5C" w14:textId="77777777" w:rsidTr="00D35ADF">
        <w:trPr>
          <w:trHeight w:val="580"/>
        </w:trPr>
        <w:tc>
          <w:tcPr>
            <w:tcW w:w="2613" w:type="dxa"/>
            <w:vMerge/>
            <w:tcBorders>
              <w:top w:val="single" w:sz="4" w:space="0" w:color="000000"/>
              <w:left w:val="single" w:sz="4" w:space="0" w:color="000000"/>
              <w:bottom w:val="single" w:sz="4" w:space="0" w:color="000000"/>
              <w:right w:val="single" w:sz="4" w:space="0" w:color="000000"/>
            </w:tcBorders>
            <w:vAlign w:val="center"/>
            <w:hideMark/>
          </w:tcPr>
          <w:p w14:paraId="42CBA6F2"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p>
        </w:tc>
        <w:tc>
          <w:tcPr>
            <w:tcW w:w="6737" w:type="dxa"/>
            <w:tcBorders>
              <w:top w:val="single" w:sz="4" w:space="0" w:color="000000"/>
              <w:left w:val="single" w:sz="4" w:space="0" w:color="000000"/>
              <w:bottom w:val="single" w:sz="4" w:space="0" w:color="000000"/>
              <w:right w:val="single" w:sz="4" w:space="0" w:color="000000"/>
            </w:tcBorders>
          </w:tcPr>
          <w:p w14:paraId="19D06C9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u w:val="single"/>
                <w:lang w:eastAsia="hu-HU"/>
              </w:rPr>
              <w:t>FIGYELEM!</w:t>
            </w:r>
            <w:r w:rsidRPr="004C1214">
              <w:rPr>
                <w:rFonts w:ascii="Times New Roman" w:eastAsia="Arial" w:hAnsi="Times New Roman"/>
                <w:sz w:val="24"/>
                <w:szCs w:val="24"/>
                <w:lang w:eastAsia="hu-HU"/>
              </w:rPr>
              <w:t xml:space="preserve"> Az érintett bármikor jogosult – saját helyzetével összefüggő okból – tiltakozni a fenti adatkezelés ellen a fent jelzett elérhetőségeinek valamelyikén. </w:t>
            </w:r>
          </w:p>
        </w:tc>
      </w:tr>
    </w:tbl>
    <w:p w14:paraId="610C3134"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III. AZ ÉRINTETTI JOGOK GYAKORLÁSA</w:t>
      </w:r>
    </w:p>
    <w:p w14:paraId="2BC8909A"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érintettek a lentebb felsorolt – a GDPR által biztosított – jogokat bármikor érvényesíthetik a Adatkezelővel szemben, szóban, írásban vagy elektronikus úton is. </w:t>
      </w:r>
    </w:p>
    <w:p w14:paraId="48602F53"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FIGYELEM! Bizonyos érintetti jogok érvényesítésére csak a megfelelő jogalap alapján kezelt személyes adatok esetében kerülhet sor. Az egyes </w:t>
      </w:r>
      <w:proofErr w:type="spellStart"/>
      <w:r w:rsidRPr="004C1214">
        <w:rPr>
          <w:rFonts w:ascii="Times New Roman" w:eastAsia="Arial" w:hAnsi="Times New Roman"/>
          <w:sz w:val="24"/>
          <w:szCs w:val="24"/>
          <w:lang w:eastAsia="hu-HU"/>
        </w:rPr>
        <w:t>adatkezelési</w:t>
      </w:r>
      <w:proofErr w:type="spellEnd"/>
      <w:r w:rsidRPr="004C1214">
        <w:rPr>
          <w:rFonts w:ascii="Times New Roman" w:eastAsia="Arial" w:hAnsi="Times New Roman"/>
          <w:sz w:val="24"/>
          <w:szCs w:val="24"/>
          <w:lang w:eastAsia="hu-HU"/>
        </w:rPr>
        <w:t xml:space="preserve"> célok vonatkozásában gyakorolható jogosultságokkal kapcsolatban további információkat a fenti táblázatok tartalmaznak.</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9"/>
        <w:gridCol w:w="6876"/>
      </w:tblGrid>
      <w:tr w:rsidR="00786FB3" w:rsidRPr="004C1214" w14:paraId="4C760164"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2D0452A7"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Hozzájárulás visszavonása</w:t>
            </w:r>
          </w:p>
        </w:tc>
        <w:tc>
          <w:tcPr>
            <w:tcW w:w="6880" w:type="dxa"/>
            <w:tcBorders>
              <w:top w:val="single" w:sz="4" w:space="0" w:color="000000"/>
              <w:left w:val="single" w:sz="4" w:space="0" w:color="000000"/>
              <w:bottom w:val="single" w:sz="4" w:space="0" w:color="000000"/>
              <w:right w:val="single" w:sz="4" w:space="0" w:color="000000"/>
            </w:tcBorders>
          </w:tcPr>
          <w:p w14:paraId="19E39FCB"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Amennyiben a személyes adatok kezelésére hozzájárulás (GDPR 6. cikk (1) bekezdés a) pont) alapján került sor, azt az érintett bármikor, indokolás nélkül visszavonhatja. A visszavonás nem érinti a hozzájáruláson alapuló – a visszavonást megelőzően folytatott – adatkezelés jogszerűségét. Ugyanakkor az Adatkezelő a továbbiakban nem végez műveleteket az érintett személyes adatok felhasználásával és törli azokat.</w:t>
            </w:r>
          </w:p>
        </w:tc>
      </w:tr>
      <w:tr w:rsidR="00786FB3" w:rsidRPr="004C1214" w14:paraId="6A348310"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66204094"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Hozzáférés</w:t>
            </w:r>
          </w:p>
        </w:tc>
        <w:tc>
          <w:tcPr>
            <w:tcW w:w="6880" w:type="dxa"/>
            <w:tcBorders>
              <w:top w:val="single" w:sz="4" w:space="0" w:color="000000"/>
              <w:left w:val="single" w:sz="4" w:space="0" w:color="000000"/>
              <w:bottom w:val="single" w:sz="4" w:space="0" w:color="000000"/>
              <w:right w:val="single" w:sz="4" w:space="0" w:color="000000"/>
            </w:tcBorders>
          </w:tcPr>
          <w:p w14:paraId="7E5A5324"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érintett bármikor jogosult kérni annak megerősítését, hogy az Adatkezelő kezeli személyes adatait. Ebben az esetben az érintett jogosult információkat kapni erről az adatkezelésről, valamint kérheti a személyes adatai másolatát. A személyes adatok másolatát a széles körben használt, számítógéppel olvasható formátumban (PDF/XML), </w:t>
            </w:r>
            <w:r w:rsidRPr="004C1214">
              <w:rPr>
                <w:rFonts w:ascii="Times New Roman" w:eastAsia="Arial" w:hAnsi="Times New Roman"/>
                <w:sz w:val="24"/>
                <w:szCs w:val="24"/>
                <w:lang w:eastAsia="hu-HU"/>
              </w:rPr>
              <w:lastRenderedPageBreak/>
              <w:t>illetve annak kinyomtatott változatában, papír alapon bocsátható az érintett rendelkezésére. A másolat igénylése ingyenes.</w:t>
            </w:r>
          </w:p>
        </w:tc>
      </w:tr>
      <w:tr w:rsidR="00786FB3" w:rsidRPr="004C1214" w14:paraId="70438081"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7B94E7BB"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lastRenderedPageBreak/>
              <w:t>Helyesbítés</w:t>
            </w:r>
          </w:p>
        </w:tc>
        <w:tc>
          <w:tcPr>
            <w:tcW w:w="6880" w:type="dxa"/>
            <w:tcBorders>
              <w:top w:val="single" w:sz="4" w:space="0" w:color="000000"/>
              <w:left w:val="single" w:sz="4" w:space="0" w:color="000000"/>
              <w:bottom w:val="single" w:sz="4" w:space="0" w:color="000000"/>
              <w:right w:val="single" w:sz="4" w:space="0" w:color="000000"/>
            </w:tcBorders>
          </w:tcPr>
          <w:p w14:paraId="1A8AF8DB"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 kérheti a rá vonatkozó:</w:t>
            </w:r>
          </w:p>
          <w:p w14:paraId="6079B037" w14:textId="77777777" w:rsidR="00786FB3" w:rsidRPr="004C1214" w:rsidRDefault="00786FB3" w:rsidP="00786FB3">
            <w:pPr>
              <w:widowControl w:val="0"/>
              <w:numPr>
                <w:ilvl w:val="0"/>
                <w:numId w:val="3"/>
              </w:numPr>
              <w:autoSpaceDE w:val="0"/>
              <w:autoSpaceDN w:val="0"/>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pontatlan személyes adatok helyesbítését, vagy</w:t>
            </w:r>
          </w:p>
          <w:p w14:paraId="376A12D6" w14:textId="77777777" w:rsidR="00786FB3" w:rsidRPr="004C1214" w:rsidRDefault="00786FB3" w:rsidP="00786FB3">
            <w:pPr>
              <w:widowControl w:val="0"/>
              <w:numPr>
                <w:ilvl w:val="0"/>
                <w:numId w:val="3"/>
              </w:numPr>
              <w:autoSpaceDE w:val="0"/>
              <w:autoSpaceDN w:val="0"/>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hiányos személyes adatok kiegészítését. </w:t>
            </w:r>
          </w:p>
          <w:p w14:paraId="7B6161F2"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p>
          <w:p w14:paraId="61F788AF"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Amennyiben a valóságnak nem megfelelő információk pontosításához, kiegészítéséhez szükséges információk nem állnak rendelkezésre, az Adatkezelő kérheti e kiegészítő adatok benyújtását, az adatok helyességének igazolását az érintettől. Ameddig az adatok pontosítása, kiegészítése – a kiegészítő információk hiányában – nem végezhető el, az Adatkezelő korlátozza az érintett személyes adatok kezelését, az azokon végzett műveleteket – a tárolás kivételével – ideiglenesen felfüggeszti.</w:t>
            </w:r>
          </w:p>
        </w:tc>
      </w:tr>
      <w:tr w:rsidR="00786FB3" w:rsidRPr="004C1214" w14:paraId="128577B0"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68A5DA62"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Törlés</w:t>
            </w:r>
          </w:p>
        </w:tc>
        <w:tc>
          <w:tcPr>
            <w:tcW w:w="6880" w:type="dxa"/>
            <w:tcBorders>
              <w:top w:val="single" w:sz="4" w:space="0" w:color="000000"/>
              <w:left w:val="single" w:sz="4" w:space="0" w:color="000000"/>
              <w:bottom w:val="single" w:sz="4" w:space="0" w:color="000000"/>
              <w:right w:val="single" w:sz="4" w:space="0" w:color="000000"/>
            </w:tcBorders>
          </w:tcPr>
          <w:p w14:paraId="3DB7D5D1"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 kérheti az Adatkezelő által kezelt, rá vonatkozó személyes adatok törlését, amennyiben a következő feltételek valamelyike fennáll:</w:t>
            </w:r>
          </w:p>
          <w:p w14:paraId="50928233" w14:textId="77777777" w:rsidR="00786FB3" w:rsidRPr="004C1214" w:rsidRDefault="00786FB3" w:rsidP="00786FB3">
            <w:pPr>
              <w:widowControl w:val="0"/>
              <w:numPr>
                <w:ilvl w:val="0"/>
                <w:numId w:val="4"/>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Adatkezelőnek a továbbiakban már nincs szüksége az adott adatokra, vagy</w:t>
            </w:r>
          </w:p>
          <w:p w14:paraId="1F99BF1D" w14:textId="77777777" w:rsidR="00786FB3" w:rsidRPr="004C1214" w:rsidRDefault="00786FB3" w:rsidP="00786FB3">
            <w:pPr>
              <w:widowControl w:val="0"/>
              <w:numPr>
                <w:ilvl w:val="0"/>
                <w:numId w:val="4"/>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érintettnek aggodalma merül fel az adatai kezelésének jogszerűsége tekintetében.</w:t>
            </w:r>
          </w:p>
          <w:p w14:paraId="6845742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p w14:paraId="4B86EED6"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Amennyiben a kezelt személyes adatok törlésének kötelezettsége fennáll, az Adatkezelő megszünteti az adatok kezelését és törli azokat. </w:t>
            </w:r>
          </w:p>
        </w:tc>
      </w:tr>
      <w:tr w:rsidR="00786FB3" w:rsidRPr="004C1214" w14:paraId="575073F2"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254D5CA7"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Az adatkezelés korlátozása</w:t>
            </w:r>
          </w:p>
        </w:tc>
        <w:tc>
          <w:tcPr>
            <w:tcW w:w="6880" w:type="dxa"/>
            <w:tcBorders>
              <w:top w:val="single" w:sz="4" w:space="0" w:color="000000"/>
              <w:left w:val="single" w:sz="4" w:space="0" w:color="000000"/>
              <w:bottom w:val="single" w:sz="4" w:space="0" w:color="000000"/>
              <w:right w:val="single" w:sz="4" w:space="0" w:color="000000"/>
            </w:tcBorders>
          </w:tcPr>
          <w:p w14:paraId="23E8319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 kérheti a rá vonatkozó személyes adatok kezelésének korlátozását, amennyiben a következő feltételek valamelyike fennáll:</w:t>
            </w:r>
          </w:p>
          <w:p w14:paraId="1DC3F754" w14:textId="77777777" w:rsidR="00786FB3" w:rsidRPr="004C1214" w:rsidRDefault="00786FB3" w:rsidP="00786FB3">
            <w:pPr>
              <w:widowControl w:val="0"/>
              <w:numPr>
                <w:ilvl w:val="0"/>
                <w:numId w:val="5"/>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érintettnek aggodalma merül fel a rá vonatkozó személyes adatok kezelésének jogszerűsége tekintetében, és az adatok törlése helyett a korlátozást kéri, vagy</w:t>
            </w:r>
          </w:p>
          <w:p w14:paraId="01F41A33" w14:textId="77777777" w:rsidR="00786FB3" w:rsidRPr="004C1214" w:rsidRDefault="00786FB3" w:rsidP="00786FB3">
            <w:pPr>
              <w:widowControl w:val="0"/>
              <w:numPr>
                <w:ilvl w:val="0"/>
                <w:numId w:val="5"/>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Adatkezelőnek a továbbiakban már nincs szüksége az adatokra, de az érintett igényli azokat jogi igények előterjesztéséhez, érvényesítéséhez vagy védelméhez.</w:t>
            </w:r>
          </w:p>
          <w:p w14:paraId="0C9DD159"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p>
          <w:p w14:paraId="1D750D5E"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Adatkezelő automatikusan korlátozza a személyes adatok kezelését abban az esetben, ha az érintett vitatja a személyes adatok pontosságát, illetve, ha tiltakozási jogát gyakorolja. Ezekben az esetekben a korlátozás arra az időtartamra vonatkozik, amely lehetővé teszi a személyes adatok pontosságának ellenőrzését, illetve annak megállapítását, hogy fennáll-e olyan kényszerítő </w:t>
            </w:r>
            <w:proofErr w:type="spellStart"/>
            <w:r w:rsidRPr="004C1214">
              <w:rPr>
                <w:rFonts w:ascii="Times New Roman" w:eastAsia="Arial" w:hAnsi="Times New Roman"/>
                <w:sz w:val="24"/>
                <w:szCs w:val="24"/>
                <w:lang w:eastAsia="hu-HU"/>
              </w:rPr>
              <w:t>erejű</w:t>
            </w:r>
            <w:proofErr w:type="spellEnd"/>
            <w:r w:rsidRPr="004C1214">
              <w:rPr>
                <w:rFonts w:ascii="Times New Roman" w:eastAsia="Arial" w:hAnsi="Times New Roman"/>
                <w:sz w:val="24"/>
                <w:szCs w:val="24"/>
                <w:lang w:eastAsia="hu-HU"/>
              </w:rPr>
              <w:t xml:space="preserve"> jogos indok, amely az adatkezelés folytatását teszi szükségessé.</w:t>
            </w:r>
          </w:p>
          <w:p w14:paraId="2E8E84F0"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lastRenderedPageBreak/>
              <w:t>A korlátozás ideje alatt az Adatkezelő a személyes adatokon műveleteket – a tárolás kivételével – nem végez. A személyes adatokat az adatkezelés korlátozása esetén kizárólag az alábbi esetekben lehet kezelni:</w:t>
            </w:r>
          </w:p>
          <w:p w14:paraId="2C8EC5D1" w14:textId="77777777" w:rsidR="00786FB3" w:rsidRPr="004C1214" w:rsidRDefault="00786FB3" w:rsidP="00786FB3">
            <w:pPr>
              <w:widowControl w:val="0"/>
              <w:numPr>
                <w:ilvl w:val="0"/>
                <w:numId w:val="6"/>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érintett hozzájárul az adatkezelés folytatásához,</w:t>
            </w:r>
          </w:p>
          <w:p w14:paraId="7C479DDB" w14:textId="77777777" w:rsidR="00786FB3" w:rsidRPr="004C1214" w:rsidRDefault="00786FB3" w:rsidP="00786FB3">
            <w:pPr>
              <w:widowControl w:val="0"/>
              <w:numPr>
                <w:ilvl w:val="0"/>
                <w:numId w:val="6"/>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adatkezelés folytatása jogi igények előterjesztése, érvényesítése vagy védelme érdekében szükséges,</w:t>
            </w:r>
          </w:p>
          <w:p w14:paraId="627FC238" w14:textId="77777777" w:rsidR="00786FB3" w:rsidRPr="004C1214" w:rsidRDefault="00786FB3" w:rsidP="00786FB3">
            <w:pPr>
              <w:widowControl w:val="0"/>
              <w:numPr>
                <w:ilvl w:val="0"/>
                <w:numId w:val="6"/>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adatkezelés folytatása más természetes vagy jogi személy jogainak védelme érdekében szükséges, vagy </w:t>
            </w:r>
          </w:p>
          <w:p w14:paraId="5A4AD6E7" w14:textId="77777777" w:rsidR="00786FB3" w:rsidRPr="004C1214" w:rsidRDefault="00786FB3" w:rsidP="00786FB3">
            <w:pPr>
              <w:widowControl w:val="0"/>
              <w:numPr>
                <w:ilvl w:val="0"/>
                <w:numId w:val="6"/>
              </w:numPr>
              <w:autoSpaceDE w:val="0"/>
              <w:autoSpaceDN w:val="0"/>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adatkezelés folytatása fontos közérdek védelme érdekében szükséges.</w:t>
            </w:r>
          </w:p>
          <w:p w14:paraId="04233FBA"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korlátozás feloldásáról az Adatkezelő az érintettet előzetesen tájékoztatja.</w:t>
            </w:r>
          </w:p>
        </w:tc>
      </w:tr>
      <w:tr w:rsidR="00786FB3" w:rsidRPr="004C1214" w14:paraId="1446664A"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447CFFA7"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lastRenderedPageBreak/>
              <w:t>Adathordozhatóság</w:t>
            </w:r>
          </w:p>
        </w:tc>
        <w:tc>
          <w:tcPr>
            <w:tcW w:w="6880" w:type="dxa"/>
            <w:tcBorders>
              <w:top w:val="single" w:sz="4" w:space="0" w:color="000000"/>
              <w:left w:val="single" w:sz="4" w:space="0" w:color="000000"/>
              <w:bottom w:val="single" w:sz="4" w:space="0" w:color="000000"/>
              <w:right w:val="single" w:sz="4" w:space="0" w:color="000000"/>
            </w:tcBorders>
          </w:tcPr>
          <w:p w14:paraId="0A68835C"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érintett kérheti a rá vonatkozó személyes rendelkezésre bocsátását, vagy azoknak egy, általa megjelölt másik adatkezelő részére történő közvetlen továbbítását is. Ez esetben az Adatkezelő a személyes adatokat tagolt, széles körben használt, számítógéppel olvasható formátumban (PDF/XML) bocsátja rendelkezésre. </w:t>
            </w:r>
          </w:p>
          <w:p w14:paraId="66842428"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p>
          <w:p w14:paraId="766BF429"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FIGYELEM! jog gyakorlása nem jár automatikusan a személyes adatoknak az Adatkezelő rendszereiből való törlésével. </w:t>
            </w:r>
          </w:p>
          <w:p w14:paraId="2682BCBC"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p>
          <w:p w14:paraId="008F4B3F"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FIGYELEM! E jogosultság kizárólag azokra a személyes adatokra vonatkozik, amelyeket az Adatkezelő az érintett hozzájárulása alapján kezel. Egyéb adatok hordozhatóságára lehetőség nincs.  </w:t>
            </w:r>
          </w:p>
        </w:tc>
      </w:tr>
      <w:tr w:rsidR="00786FB3" w:rsidRPr="004C1214" w14:paraId="7D2E4882"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6BCED36A"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Tiltakozás</w:t>
            </w:r>
          </w:p>
        </w:tc>
        <w:tc>
          <w:tcPr>
            <w:tcW w:w="6880" w:type="dxa"/>
            <w:tcBorders>
              <w:top w:val="single" w:sz="4" w:space="0" w:color="000000"/>
              <w:left w:val="single" w:sz="4" w:space="0" w:color="000000"/>
              <w:bottom w:val="single" w:sz="4" w:space="0" w:color="000000"/>
              <w:right w:val="single" w:sz="4" w:space="0" w:color="000000"/>
            </w:tcBorders>
          </w:tcPr>
          <w:p w14:paraId="78916721"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érintett tiltakozhat a személyes adatai kezelése ellen, ha az adatkezelés az Adatkezelő jogos érdekén alapul. Amennyiben nincsenek olyan kényszerítő </w:t>
            </w:r>
            <w:proofErr w:type="spellStart"/>
            <w:r w:rsidRPr="004C1214">
              <w:rPr>
                <w:rFonts w:ascii="Times New Roman" w:eastAsia="Arial" w:hAnsi="Times New Roman"/>
                <w:sz w:val="24"/>
                <w:szCs w:val="24"/>
                <w:lang w:eastAsia="hu-HU"/>
              </w:rPr>
              <w:t>erejű</w:t>
            </w:r>
            <w:proofErr w:type="spellEnd"/>
            <w:r w:rsidRPr="004C1214">
              <w:rPr>
                <w:rFonts w:ascii="Times New Roman" w:eastAsia="Arial" w:hAnsi="Times New Roman"/>
                <w:sz w:val="24"/>
                <w:szCs w:val="24"/>
                <w:lang w:eastAsia="hu-HU"/>
              </w:rPr>
              <w:t xml:space="preserve"> indokok, amely a személyes adatok további kezelését teszik szükségessé (ilyen eset például az, amikor az Adatkezelő érdekei, jogai vagy szabadságai elsőbbséget élveznek, vagy amikor az adatok felhasználása jogi igények előterjesztése, érvényesítése vagy védelme érdekében szükséges), a személyes adatok kezelését az Adatkezelő megszünteti és az adatokat törli.  </w:t>
            </w:r>
          </w:p>
        </w:tc>
      </w:tr>
      <w:tr w:rsidR="00786FB3" w:rsidRPr="004C1214" w14:paraId="1D7A82E7" w14:textId="77777777" w:rsidTr="00D35ADF">
        <w:tc>
          <w:tcPr>
            <w:tcW w:w="2470" w:type="dxa"/>
            <w:tcBorders>
              <w:top w:val="single" w:sz="4" w:space="0" w:color="000000"/>
              <w:left w:val="single" w:sz="4" w:space="0" w:color="000000"/>
              <w:bottom w:val="single" w:sz="4" w:space="0" w:color="000000"/>
              <w:right w:val="single" w:sz="4" w:space="0" w:color="000000"/>
            </w:tcBorders>
            <w:hideMark/>
          </w:tcPr>
          <w:p w14:paraId="73A0963D" w14:textId="77777777" w:rsidR="00786FB3" w:rsidRPr="004C1214" w:rsidRDefault="00786FB3" w:rsidP="00D35ADF">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Joggyakorlás az érintett halála után</w:t>
            </w:r>
          </w:p>
        </w:tc>
        <w:tc>
          <w:tcPr>
            <w:tcW w:w="6880" w:type="dxa"/>
            <w:tcBorders>
              <w:top w:val="single" w:sz="4" w:space="0" w:color="000000"/>
              <w:left w:val="single" w:sz="4" w:space="0" w:color="000000"/>
              <w:bottom w:val="single" w:sz="4" w:space="0" w:color="000000"/>
              <w:right w:val="single" w:sz="4" w:space="0" w:color="000000"/>
            </w:tcBorders>
          </w:tcPr>
          <w:p w14:paraId="72B09B77"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Az érintett halálát követő 5 éven belül a hozzáféréshez, a helyesbítéshez, a törléshez, az adatkezelés korlátozásához, illetve a tiltakozáshoz való jogokat az a személy gyakorolhatja, akit az érintett ügyintézési rendelkezéssel, illetve közokiratban / teljes bizonyító </w:t>
            </w:r>
            <w:proofErr w:type="spellStart"/>
            <w:r w:rsidRPr="004C1214">
              <w:rPr>
                <w:rFonts w:ascii="Times New Roman" w:eastAsia="Arial" w:hAnsi="Times New Roman"/>
                <w:sz w:val="24"/>
                <w:szCs w:val="24"/>
                <w:lang w:eastAsia="hu-HU"/>
              </w:rPr>
              <w:t>erejű</w:t>
            </w:r>
            <w:proofErr w:type="spellEnd"/>
            <w:r w:rsidRPr="004C1214">
              <w:rPr>
                <w:rFonts w:ascii="Times New Roman" w:eastAsia="Arial" w:hAnsi="Times New Roman"/>
                <w:sz w:val="24"/>
                <w:szCs w:val="24"/>
                <w:lang w:eastAsia="hu-HU"/>
              </w:rPr>
              <w:t xml:space="preserve"> magánokiratban – az Adatkezelőnél – tett nyilatkozattal meghatalmazott. Nyilatkozat hiányában a helyesbítéshez és tiltakozáshoz, valamint – ha az adatkezelés már az érintett életében is jogellenes volt vagy az adatkezelés célja az érintett halálával megszűnt – a törléshez és az adatkezelés korlátozásához fűződő jogokat az érintett közeli hozzátartozója (házastárs, </w:t>
            </w:r>
            <w:proofErr w:type="spellStart"/>
            <w:r w:rsidRPr="004C1214">
              <w:rPr>
                <w:rFonts w:ascii="Times New Roman" w:eastAsia="Arial" w:hAnsi="Times New Roman"/>
                <w:sz w:val="24"/>
                <w:szCs w:val="24"/>
                <w:lang w:eastAsia="hu-HU"/>
              </w:rPr>
              <w:t>egyeneságbeli</w:t>
            </w:r>
            <w:proofErr w:type="spellEnd"/>
            <w:r w:rsidRPr="004C1214">
              <w:rPr>
                <w:rFonts w:ascii="Times New Roman" w:eastAsia="Arial" w:hAnsi="Times New Roman"/>
                <w:sz w:val="24"/>
                <w:szCs w:val="24"/>
                <w:lang w:eastAsia="hu-HU"/>
              </w:rPr>
              <w:t xml:space="preserve"> </w:t>
            </w:r>
            <w:r w:rsidRPr="004C1214">
              <w:rPr>
                <w:rFonts w:ascii="Times New Roman" w:eastAsia="Arial" w:hAnsi="Times New Roman"/>
                <w:sz w:val="24"/>
                <w:szCs w:val="24"/>
                <w:lang w:eastAsia="hu-HU"/>
              </w:rPr>
              <w:lastRenderedPageBreak/>
              <w:t>rokon, örökbefogadott / mostoha- / nevelt gyermek, örökbefogadó- / mostoha- / nevelőszülő, testvér) is gyakorolhatja.</w:t>
            </w:r>
          </w:p>
          <w:p w14:paraId="7C49276D" w14:textId="77777777" w:rsidR="00786FB3" w:rsidRPr="004C1214" w:rsidRDefault="00786FB3" w:rsidP="00D35ADF">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jogokat érvényesítő személy köteles az érintett halálának tényét és idejét halotti anyakönyvi kivonattal vagy bírósági határozattal, valamint saját személyazonosságát – adott esetben közeli hozzátartozói minőségét – közokirattal igazolni. Ezt követően e személyt az érintett részére megállapított jogok illetik meg és kötelezettségek terhelik.</w:t>
            </w:r>
          </w:p>
        </w:tc>
      </w:tr>
    </w:tbl>
    <w:p w14:paraId="7FFC8698"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mallCaps/>
          <w:sz w:val="24"/>
          <w:szCs w:val="24"/>
          <w:lang w:eastAsia="hu-HU"/>
        </w:rPr>
      </w:pPr>
      <w:r w:rsidRPr="004C1214">
        <w:rPr>
          <w:rFonts w:ascii="Times New Roman" w:eastAsia="Arial" w:hAnsi="Times New Roman"/>
          <w:b/>
          <w:smallCaps/>
          <w:sz w:val="24"/>
          <w:szCs w:val="24"/>
          <w:lang w:eastAsia="hu-HU"/>
        </w:rPr>
        <w:lastRenderedPageBreak/>
        <w:t>IV. ADATBIZTONSÁG</w:t>
      </w:r>
    </w:p>
    <w:p w14:paraId="15C47BA5" w14:textId="77777777" w:rsidR="00786FB3" w:rsidRPr="004C1214" w:rsidRDefault="00786FB3" w:rsidP="00786FB3">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 az informatikai védelemmel kapcsolatos feladatai körében gondoskodik különösen: </w:t>
      </w:r>
    </w:p>
    <w:p w14:paraId="2DC81753"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adatkezeléshez használt eszközök (a továbbiakban: adatkezelő rendszer) jogosulatlan személyek általi hozzáférésének megtagadásáról, </w:t>
      </w:r>
    </w:p>
    <w:p w14:paraId="70338F56"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adathordozók jogosulatlan olvasásának, másolásának, módosításának vagy eltávolításának megakadályozásáról,</w:t>
      </w:r>
    </w:p>
    <w:p w14:paraId="050EBB53"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 rendszerbe a személyes adatok jogosulatlan bevitelének, valamint az abban tárolt személyes adatok jogosulatlan megismerésének, módosításának vagy törlésének megakadályozásáról, </w:t>
      </w:r>
    </w:p>
    <w:p w14:paraId="213513FB"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az adatkezelő rendszerek jogosulatlan személyek általi, adatátviteli berendezés útján történő használatának megakadályozásáról, </w:t>
      </w:r>
    </w:p>
    <w:p w14:paraId="0C4C39D6"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arról, hogy az adatkezelő rendszer használatára jogosult személyek kizárólag a hozzáférési engedélyben meghatározott személyes adatokhoz férjenek hozzá,</w:t>
      </w:r>
    </w:p>
    <w:p w14:paraId="63537C50"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arról, hogy ellenőrizhető és megállapítható legyen, hogy a személyes adatokat adatátviteli berendezés útján mely címzettnek továbbították vagy továbbíthatják, illetve bocsátották vagy bocsáthatják rendelkezésére </w:t>
      </w:r>
    </w:p>
    <w:p w14:paraId="14D50466"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arról, hogy utólag ellenőrizhető és megállapítható legyen, hogy mely személyes adatokat, mely időpontban, ki vitt be az adatkezelő rendszerbe</w:t>
      </w:r>
    </w:p>
    <w:p w14:paraId="4B166FC8"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 személyes adatoknak azok továbbítása során vagy az adathordozó szállítása közben történő jogosulatlan megismerésének, másolásának, módosításának vagy törlésének megakadályozásáról </w:t>
      </w:r>
    </w:p>
    <w:p w14:paraId="36CB245F"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arról, hogy üzemzavar esetén az adatkezelő rendszer helyreállítható legyen.</w:t>
      </w:r>
    </w:p>
    <w:p w14:paraId="2A3F2CC0" w14:textId="77777777" w:rsidR="00786FB3" w:rsidRPr="004C1214" w:rsidRDefault="00786FB3" w:rsidP="00786FB3">
      <w:pPr>
        <w:numPr>
          <w:ilvl w:val="0"/>
          <w:numId w:val="7"/>
        </w:num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arról, hogy az adatkezelő rendszer működőképes legyen, a működése során fellépő hibákról jelentés készüljön, továbbá a tárolt személyes adatokat a rendszer hibás működtetésével sem lehessen megváltoztatni.</w:t>
      </w:r>
    </w:p>
    <w:p w14:paraId="54A48C3A" w14:textId="77777777" w:rsidR="00786FB3" w:rsidRPr="004C1214" w:rsidRDefault="00786FB3" w:rsidP="00786FB3">
      <w:pPr>
        <w:spacing w:before="100" w:beforeAutospacing="1" w:after="100" w:afterAutospacing="1" w:line="240" w:lineRule="auto"/>
        <w:ind w:left="720"/>
        <w:jc w:val="both"/>
        <w:rPr>
          <w:rFonts w:ascii="Times New Roman" w:eastAsia="Arial" w:hAnsi="Times New Roman"/>
          <w:sz w:val="24"/>
          <w:szCs w:val="24"/>
          <w:lang w:eastAsia="hu-HU"/>
        </w:rPr>
      </w:pPr>
    </w:p>
    <w:p w14:paraId="47A47C0A" w14:textId="77777777" w:rsidR="00786FB3" w:rsidRPr="004C1214" w:rsidRDefault="00786FB3" w:rsidP="00786FB3">
      <w:pPr>
        <w:keepNext/>
        <w:keepLines/>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V. A JOGORVOSLATI LEHETŐSÉGEK</w:t>
      </w:r>
    </w:p>
    <w:p w14:paraId="0C3765DA"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Amennyiben az érintett úgy gondolja, hogy az Adatkezelő nem megfelelő módon, a vonatkozó jogszabályokkal ellentétesen kezelte személyes adatait, esetleg, ha az érintetti joggyakorlásra irányuló kérelemnek az Adatkezelő nem, vagy nem megfelelő módon tett eleget, az érintett jogosult panaszt benyújtani a Nemzeti Adatvédelmi és Információszabadság Hatósághoz, valamint fordulhat a lakóhelye vagy tartózkodási helye szerint illetékes törvényszékhez (http://birosag.hu/torvenyszekek honlap).</w:t>
      </w:r>
    </w:p>
    <w:p w14:paraId="444B03FB"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lastRenderedPageBreak/>
        <w:t xml:space="preserve">Ön jogainak megsértése esetén bírósághoz fordulhat. </w:t>
      </w:r>
    </w:p>
    <w:p w14:paraId="0CE49F56"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 per a törvényszék hatáskörébe tartozik. A per - az érintett választása szerint - az érintett lakóhelye vagy tartózkodási helye szerinti törvényszék előtt is megindítható. </w:t>
      </w:r>
    </w:p>
    <w:p w14:paraId="39C14FFA"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 bíróság az Adatkezelőt a tájékoztatás megadására, az adat helyesbítésére, korlátozására, illetve törlésére, az automatizált adatfeldolgozással hozott döntés megsemmisítésére, az Ön tiltakozási jogának figyelembevételére kötelezheti. </w:t>
      </w:r>
    </w:p>
    <w:p w14:paraId="48260A54"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A bíróság elrendelheti ítéletének nyilvánosságra hozatalát oly módon, hogy az Adatkezelő vagy bármelyik más adatkezelő és az általa elkövetett jogsértés beazonosítható legyen.  Ön kérheti a jogellenes adatkezeléssel (ideértve az adatbiztonsági intézkedések elmulasztását is) összefüggésben felmerült kárának megtérítését a károkozásért felelős adatkezelőtől. </w:t>
      </w:r>
    </w:p>
    <w:p w14:paraId="7667108E"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Ha az adatkezelő az Ön adatainak jogellenes kezelésével vagy az adatbiztonság követelményeinek megszegésével az Ön személyiségi jogát megsérti, Ön az adatkezelőtől sérelemdíjat követelhet. Az adatkezelő mentesül a felelősség alól, ha bizonyítja, hogy a kárt vagy az érintett személyiségi jogának sérelmét az adatkezelés körén kívül eső elháríthatatlan ok idézte elő. </w:t>
      </w:r>
    </w:p>
    <w:p w14:paraId="6AF301D5" w14:textId="77777777" w:rsidR="00786FB3" w:rsidRPr="004C1214" w:rsidRDefault="00786FB3" w:rsidP="00786FB3">
      <w:pPr>
        <w:spacing w:before="100" w:beforeAutospacing="1" w:after="100" w:afterAutospacing="1" w:line="240" w:lineRule="auto"/>
        <w:jc w:val="both"/>
        <w:rPr>
          <w:rFonts w:ascii="Times New Roman" w:eastAsia="Arial" w:hAnsi="Times New Roman"/>
          <w:sz w:val="24"/>
          <w:szCs w:val="24"/>
          <w:lang w:eastAsia="hu-HU"/>
        </w:rPr>
      </w:pPr>
      <w:r w:rsidRPr="004C1214">
        <w:rPr>
          <w:rFonts w:ascii="Times New Roman" w:eastAsia="Arial" w:hAnsi="Times New Roman"/>
          <w:sz w:val="24"/>
          <w:szCs w:val="24"/>
          <w:lang w:eastAsia="hu-HU"/>
        </w:rPr>
        <w:t>Nem kell megtéríteni a kárt és nem követelhető a sérelemdíj annyiban, amennyiben az a károsult szándékos vagy súlyosan gondatlan magatartásából származott.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5"/>
        <w:gridCol w:w="7410"/>
      </w:tblGrid>
      <w:tr w:rsidR="00786FB3" w:rsidRPr="004C1214" w14:paraId="4266EA54" w14:textId="77777777" w:rsidTr="00D35ADF">
        <w:tc>
          <w:tcPr>
            <w:tcW w:w="9345" w:type="dxa"/>
            <w:gridSpan w:val="2"/>
            <w:tcBorders>
              <w:top w:val="single" w:sz="4" w:space="0" w:color="000000"/>
              <w:left w:val="single" w:sz="4" w:space="0" w:color="000000"/>
              <w:bottom w:val="single" w:sz="4" w:space="0" w:color="000000"/>
              <w:right w:val="single" w:sz="4" w:space="0" w:color="000000"/>
            </w:tcBorders>
            <w:hideMark/>
          </w:tcPr>
          <w:p w14:paraId="079A381A" w14:textId="77777777" w:rsidR="00786FB3" w:rsidRPr="004C1214" w:rsidRDefault="00786FB3" w:rsidP="00D35ADF">
            <w:pPr>
              <w:spacing w:before="100" w:beforeAutospacing="1" w:after="100" w:afterAutospacing="1" w:line="240" w:lineRule="auto"/>
              <w:jc w:val="center"/>
              <w:rPr>
                <w:rFonts w:ascii="Times New Roman" w:eastAsia="Arial" w:hAnsi="Times New Roman"/>
                <w:sz w:val="24"/>
                <w:szCs w:val="24"/>
                <w:lang w:eastAsia="hu-HU"/>
              </w:rPr>
            </w:pPr>
            <w:r w:rsidRPr="004C1214">
              <w:rPr>
                <w:rFonts w:ascii="Times New Roman" w:eastAsia="Arial" w:hAnsi="Times New Roman"/>
                <w:sz w:val="24"/>
                <w:szCs w:val="24"/>
                <w:lang w:eastAsia="hu-HU"/>
              </w:rPr>
              <w:t>A Nemzeti Adatvédelmi és Információszabadság Hatóság elérhetőségei</w:t>
            </w:r>
          </w:p>
        </w:tc>
      </w:tr>
      <w:tr w:rsidR="00786FB3" w:rsidRPr="004C1214" w14:paraId="0EB0BE5F"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01386ACB"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Székhely</w:t>
            </w:r>
          </w:p>
        </w:tc>
        <w:tc>
          <w:tcPr>
            <w:tcW w:w="7410" w:type="dxa"/>
            <w:tcBorders>
              <w:top w:val="single" w:sz="4" w:space="0" w:color="000000"/>
              <w:left w:val="single" w:sz="4" w:space="0" w:color="000000"/>
              <w:bottom w:val="single" w:sz="4" w:space="0" w:color="000000"/>
              <w:right w:val="single" w:sz="4" w:space="0" w:color="000000"/>
            </w:tcBorders>
            <w:hideMark/>
          </w:tcPr>
          <w:p w14:paraId="6C658BCA"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1055 Budapest, Falk Miksa utca 9-11.</w:t>
            </w:r>
          </w:p>
        </w:tc>
      </w:tr>
      <w:tr w:rsidR="00786FB3" w:rsidRPr="004C1214" w14:paraId="0D75F4DE"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2D83F670"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Postacím</w:t>
            </w:r>
          </w:p>
        </w:tc>
        <w:tc>
          <w:tcPr>
            <w:tcW w:w="7410" w:type="dxa"/>
            <w:tcBorders>
              <w:top w:val="single" w:sz="4" w:space="0" w:color="000000"/>
              <w:left w:val="single" w:sz="4" w:space="0" w:color="000000"/>
              <w:bottom w:val="single" w:sz="4" w:space="0" w:color="000000"/>
              <w:right w:val="single" w:sz="4" w:space="0" w:color="000000"/>
            </w:tcBorders>
            <w:hideMark/>
          </w:tcPr>
          <w:p w14:paraId="3A91FBCF"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1363 Budapest, Pf.: 9.</w:t>
            </w:r>
          </w:p>
        </w:tc>
      </w:tr>
      <w:tr w:rsidR="00786FB3" w:rsidRPr="004C1214" w14:paraId="0A880DAC"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013F92C3"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Telefon</w:t>
            </w:r>
          </w:p>
        </w:tc>
        <w:tc>
          <w:tcPr>
            <w:tcW w:w="7410" w:type="dxa"/>
            <w:tcBorders>
              <w:top w:val="single" w:sz="4" w:space="0" w:color="000000"/>
              <w:left w:val="single" w:sz="4" w:space="0" w:color="000000"/>
              <w:bottom w:val="single" w:sz="4" w:space="0" w:color="000000"/>
              <w:right w:val="single" w:sz="4" w:space="0" w:color="000000"/>
            </w:tcBorders>
            <w:hideMark/>
          </w:tcPr>
          <w:p w14:paraId="7EEDF976"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+36-1-391-1400</w:t>
            </w:r>
          </w:p>
        </w:tc>
      </w:tr>
      <w:tr w:rsidR="00786FB3" w:rsidRPr="004C1214" w14:paraId="7614067C"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20812A6C"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Fax</w:t>
            </w:r>
          </w:p>
        </w:tc>
        <w:tc>
          <w:tcPr>
            <w:tcW w:w="7410" w:type="dxa"/>
            <w:tcBorders>
              <w:top w:val="single" w:sz="4" w:space="0" w:color="000000"/>
              <w:left w:val="single" w:sz="4" w:space="0" w:color="000000"/>
              <w:bottom w:val="single" w:sz="4" w:space="0" w:color="000000"/>
              <w:right w:val="single" w:sz="4" w:space="0" w:color="000000"/>
            </w:tcBorders>
            <w:hideMark/>
          </w:tcPr>
          <w:p w14:paraId="164527C9"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+36-1-391-1410</w:t>
            </w:r>
          </w:p>
        </w:tc>
      </w:tr>
      <w:tr w:rsidR="00786FB3" w:rsidRPr="004C1214" w14:paraId="3214BF3B"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7949B349"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E-mail</w:t>
            </w:r>
          </w:p>
        </w:tc>
        <w:tc>
          <w:tcPr>
            <w:tcW w:w="7410" w:type="dxa"/>
            <w:tcBorders>
              <w:top w:val="single" w:sz="4" w:space="0" w:color="000000"/>
              <w:left w:val="single" w:sz="4" w:space="0" w:color="000000"/>
              <w:bottom w:val="single" w:sz="4" w:space="0" w:color="000000"/>
              <w:right w:val="single" w:sz="4" w:space="0" w:color="000000"/>
            </w:tcBorders>
            <w:hideMark/>
          </w:tcPr>
          <w:p w14:paraId="1B6FFB9F"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hyperlink r:id="rId6" w:history="1">
              <w:r w:rsidRPr="004C1214">
                <w:rPr>
                  <w:rFonts w:ascii="Times New Roman" w:eastAsia="Arial" w:hAnsi="Times New Roman"/>
                  <w:sz w:val="24"/>
                  <w:szCs w:val="24"/>
                  <w:u w:val="single"/>
                  <w:lang w:eastAsia="hu-HU"/>
                </w:rPr>
                <w:t>ugyfelszolgalat@naih.hu</w:t>
              </w:r>
            </w:hyperlink>
            <w:r w:rsidRPr="004C1214">
              <w:rPr>
                <w:rFonts w:ascii="Times New Roman" w:eastAsia="Arial" w:hAnsi="Times New Roman"/>
                <w:sz w:val="24"/>
                <w:szCs w:val="24"/>
                <w:lang w:eastAsia="hu-HU"/>
              </w:rPr>
              <w:t xml:space="preserve"> </w:t>
            </w:r>
          </w:p>
        </w:tc>
      </w:tr>
      <w:tr w:rsidR="00786FB3" w:rsidRPr="004C1214" w14:paraId="1B010B20"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60F90450"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 xml:space="preserve">Honlap </w:t>
            </w:r>
          </w:p>
        </w:tc>
        <w:tc>
          <w:tcPr>
            <w:tcW w:w="7410" w:type="dxa"/>
            <w:tcBorders>
              <w:top w:val="single" w:sz="4" w:space="0" w:color="000000"/>
              <w:left w:val="single" w:sz="4" w:space="0" w:color="000000"/>
              <w:bottom w:val="single" w:sz="4" w:space="0" w:color="000000"/>
              <w:right w:val="single" w:sz="4" w:space="0" w:color="000000"/>
            </w:tcBorders>
            <w:hideMark/>
          </w:tcPr>
          <w:p w14:paraId="4C274EA6"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hyperlink r:id="rId7" w:history="1">
              <w:r w:rsidRPr="004C1214">
                <w:rPr>
                  <w:rFonts w:ascii="Times New Roman" w:eastAsia="Arial" w:hAnsi="Times New Roman"/>
                  <w:sz w:val="24"/>
                  <w:szCs w:val="24"/>
                  <w:u w:val="single"/>
                  <w:lang w:eastAsia="hu-HU"/>
                </w:rPr>
                <w:t>http://www.naih.hu</w:t>
              </w:r>
            </w:hyperlink>
            <w:r w:rsidRPr="004C1214">
              <w:rPr>
                <w:rFonts w:ascii="Times New Roman" w:eastAsia="Arial" w:hAnsi="Times New Roman"/>
                <w:sz w:val="24"/>
                <w:szCs w:val="24"/>
                <w:lang w:eastAsia="hu-HU"/>
              </w:rPr>
              <w:t xml:space="preserve"> </w:t>
            </w:r>
          </w:p>
        </w:tc>
      </w:tr>
      <w:tr w:rsidR="00786FB3" w:rsidRPr="004C1214" w14:paraId="5F5576BC" w14:textId="77777777" w:rsidTr="00D35ADF">
        <w:tc>
          <w:tcPr>
            <w:tcW w:w="1935" w:type="dxa"/>
            <w:tcBorders>
              <w:top w:val="single" w:sz="4" w:space="0" w:color="000000"/>
              <w:left w:val="single" w:sz="4" w:space="0" w:color="000000"/>
              <w:bottom w:val="single" w:sz="4" w:space="0" w:color="000000"/>
              <w:right w:val="single" w:sz="4" w:space="0" w:color="000000"/>
            </w:tcBorders>
            <w:hideMark/>
          </w:tcPr>
          <w:p w14:paraId="121495C8"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r w:rsidRPr="004C1214">
              <w:rPr>
                <w:rFonts w:ascii="Times New Roman" w:eastAsia="Arial" w:hAnsi="Times New Roman"/>
                <w:sz w:val="24"/>
                <w:szCs w:val="24"/>
                <w:lang w:eastAsia="hu-HU"/>
              </w:rPr>
              <w:t>Online ügyindítás</w:t>
            </w:r>
          </w:p>
        </w:tc>
        <w:tc>
          <w:tcPr>
            <w:tcW w:w="7410" w:type="dxa"/>
            <w:tcBorders>
              <w:top w:val="single" w:sz="4" w:space="0" w:color="000000"/>
              <w:left w:val="single" w:sz="4" w:space="0" w:color="000000"/>
              <w:bottom w:val="single" w:sz="4" w:space="0" w:color="000000"/>
              <w:right w:val="single" w:sz="4" w:space="0" w:color="000000"/>
            </w:tcBorders>
            <w:hideMark/>
          </w:tcPr>
          <w:p w14:paraId="3AC2D440" w14:textId="77777777" w:rsidR="00786FB3" w:rsidRPr="004C1214" w:rsidRDefault="00786FB3" w:rsidP="00D35ADF">
            <w:pPr>
              <w:spacing w:before="100" w:beforeAutospacing="1" w:after="100" w:afterAutospacing="1" w:line="240" w:lineRule="auto"/>
              <w:rPr>
                <w:rFonts w:ascii="Times New Roman" w:eastAsia="Arial" w:hAnsi="Times New Roman"/>
                <w:sz w:val="24"/>
                <w:szCs w:val="24"/>
                <w:lang w:eastAsia="hu-HU"/>
              </w:rPr>
            </w:pPr>
            <w:hyperlink r:id="rId8" w:history="1">
              <w:r w:rsidRPr="004C1214">
                <w:rPr>
                  <w:rFonts w:ascii="Times New Roman" w:eastAsia="Arial" w:hAnsi="Times New Roman"/>
                  <w:sz w:val="24"/>
                  <w:szCs w:val="24"/>
                  <w:u w:val="single"/>
                  <w:lang w:eastAsia="hu-HU"/>
                </w:rPr>
                <w:t>http://wwwnaih.hu/online-uegyinditas.html</w:t>
              </w:r>
            </w:hyperlink>
            <w:r w:rsidRPr="004C1214">
              <w:rPr>
                <w:rFonts w:ascii="Times New Roman" w:eastAsia="Arial" w:hAnsi="Times New Roman"/>
                <w:sz w:val="24"/>
                <w:szCs w:val="24"/>
                <w:lang w:eastAsia="hu-HU"/>
              </w:rPr>
              <w:t xml:space="preserve"> </w:t>
            </w:r>
          </w:p>
        </w:tc>
      </w:tr>
    </w:tbl>
    <w:p w14:paraId="6CB9022E" w14:textId="77777777" w:rsidR="00786FB3" w:rsidRPr="004C1214" w:rsidRDefault="00786FB3" w:rsidP="00786FB3">
      <w:pPr>
        <w:spacing w:before="100" w:beforeAutospacing="1" w:after="100" w:afterAutospacing="1" w:line="240" w:lineRule="auto"/>
        <w:rPr>
          <w:rFonts w:ascii="Times New Roman" w:eastAsia="Arial" w:hAnsi="Times New Roman"/>
          <w:b/>
          <w:sz w:val="24"/>
          <w:szCs w:val="24"/>
          <w:lang w:eastAsia="hu-HU"/>
        </w:rPr>
      </w:pPr>
      <w:r w:rsidRPr="004C1214">
        <w:rPr>
          <w:rFonts w:ascii="Times New Roman" w:eastAsia="Arial" w:hAnsi="Times New Roman"/>
          <w:b/>
          <w:sz w:val="24"/>
          <w:szCs w:val="24"/>
          <w:lang w:eastAsia="hu-HU"/>
        </w:rPr>
        <w:t>Kérjük, jelen tájékoztató szerinti adatkezelés szíves tudomásulvételét.</w:t>
      </w:r>
    </w:p>
    <w:p w14:paraId="6076EF4A" w14:textId="77777777" w:rsidR="00464734" w:rsidRPr="00786FB3" w:rsidRDefault="00464734" w:rsidP="00786FB3"/>
    <w:sectPr w:rsidR="00464734" w:rsidRPr="00786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4ECB"/>
    <w:multiLevelType w:val="multilevel"/>
    <w:tmpl w:val="F62A5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6F7493"/>
    <w:multiLevelType w:val="multilevel"/>
    <w:tmpl w:val="0C3CD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159A6"/>
    <w:multiLevelType w:val="hybridMultilevel"/>
    <w:tmpl w:val="0A3870A0"/>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3" w15:restartNumberingAfterBreak="0">
    <w:nsid w:val="4BE7152F"/>
    <w:multiLevelType w:val="hybridMultilevel"/>
    <w:tmpl w:val="FADEBAA8"/>
    <w:lvl w:ilvl="0" w:tplc="040E0001">
      <w:start w:val="1"/>
      <w:numFmt w:val="bullet"/>
      <w:lvlText w:val=""/>
      <w:lvlJc w:val="left"/>
      <w:pPr>
        <w:ind w:left="1800" w:hanging="360"/>
      </w:pPr>
      <w:rPr>
        <w:rFonts w:ascii="Symbol" w:hAnsi="Symbol" w:hint="default"/>
      </w:rPr>
    </w:lvl>
    <w:lvl w:ilvl="1" w:tplc="040E0003">
      <w:start w:val="1"/>
      <w:numFmt w:val="bullet"/>
      <w:lvlText w:val="o"/>
      <w:lvlJc w:val="left"/>
      <w:pPr>
        <w:ind w:left="2520" w:hanging="360"/>
      </w:pPr>
      <w:rPr>
        <w:rFonts w:ascii="Courier New" w:hAnsi="Courier New" w:cs="Courier New" w:hint="default"/>
      </w:rPr>
    </w:lvl>
    <w:lvl w:ilvl="2" w:tplc="040E0005">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start w:val="1"/>
      <w:numFmt w:val="bullet"/>
      <w:lvlText w:val="o"/>
      <w:lvlJc w:val="left"/>
      <w:pPr>
        <w:ind w:left="4680" w:hanging="360"/>
      </w:pPr>
      <w:rPr>
        <w:rFonts w:ascii="Courier New" w:hAnsi="Courier New" w:cs="Courier New" w:hint="default"/>
      </w:rPr>
    </w:lvl>
    <w:lvl w:ilvl="5" w:tplc="040E0005">
      <w:start w:val="1"/>
      <w:numFmt w:val="bullet"/>
      <w:lvlText w:val=""/>
      <w:lvlJc w:val="left"/>
      <w:pPr>
        <w:ind w:left="5400" w:hanging="360"/>
      </w:pPr>
      <w:rPr>
        <w:rFonts w:ascii="Wingdings" w:hAnsi="Wingdings" w:hint="default"/>
      </w:rPr>
    </w:lvl>
    <w:lvl w:ilvl="6" w:tplc="040E0001">
      <w:start w:val="1"/>
      <w:numFmt w:val="bullet"/>
      <w:lvlText w:val=""/>
      <w:lvlJc w:val="left"/>
      <w:pPr>
        <w:ind w:left="6120" w:hanging="360"/>
      </w:pPr>
      <w:rPr>
        <w:rFonts w:ascii="Symbol" w:hAnsi="Symbol" w:hint="default"/>
      </w:rPr>
    </w:lvl>
    <w:lvl w:ilvl="7" w:tplc="040E0003">
      <w:start w:val="1"/>
      <w:numFmt w:val="bullet"/>
      <w:lvlText w:val="o"/>
      <w:lvlJc w:val="left"/>
      <w:pPr>
        <w:ind w:left="6840" w:hanging="360"/>
      </w:pPr>
      <w:rPr>
        <w:rFonts w:ascii="Courier New" w:hAnsi="Courier New" w:cs="Courier New" w:hint="default"/>
      </w:rPr>
    </w:lvl>
    <w:lvl w:ilvl="8" w:tplc="040E0005">
      <w:start w:val="1"/>
      <w:numFmt w:val="bullet"/>
      <w:lvlText w:val=""/>
      <w:lvlJc w:val="left"/>
      <w:pPr>
        <w:ind w:left="7560" w:hanging="360"/>
      </w:pPr>
      <w:rPr>
        <w:rFonts w:ascii="Wingdings" w:hAnsi="Wingdings" w:hint="default"/>
      </w:rPr>
    </w:lvl>
  </w:abstractNum>
  <w:abstractNum w:abstractNumId="4" w15:restartNumberingAfterBreak="0">
    <w:nsid w:val="5747740E"/>
    <w:multiLevelType w:val="multilevel"/>
    <w:tmpl w:val="3B4E9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260F57"/>
    <w:multiLevelType w:val="hybridMultilevel"/>
    <w:tmpl w:val="3D30CF70"/>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6" w15:restartNumberingAfterBreak="0">
    <w:nsid w:val="784A7268"/>
    <w:multiLevelType w:val="hybridMultilevel"/>
    <w:tmpl w:val="9A8A4DA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num w:numId="1" w16cid:durableId="146619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361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273509">
    <w:abstractNumId w:val="3"/>
  </w:num>
  <w:num w:numId="4" w16cid:durableId="1370455468">
    <w:abstractNumId w:val="2"/>
  </w:num>
  <w:num w:numId="5" w16cid:durableId="221254516">
    <w:abstractNumId w:val="5"/>
  </w:num>
  <w:num w:numId="6" w16cid:durableId="2132283168">
    <w:abstractNumId w:val="6"/>
  </w:num>
  <w:num w:numId="7" w16cid:durableId="1679890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B3"/>
    <w:rsid w:val="00464734"/>
    <w:rsid w:val="00786FB3"/>
    <w:rsid w:val="00D034B5"/>
    <w:rsid w:val="00F07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8FCC"/>
  <w15:chartTrackingRefBased/>
  <w15:docId w15:val="{F143D589-8FB6-4CA7-AAF6-3A58C669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86FB3"/>
    <w:pPr>
      <w:spacing w:after="200" w:line="276" w:lineRule="auto"/>
    </w:pPr>
    <w:rPr>
      <w:rFonts w:ascii="Calibri" w:eastAsia="Calibri" w:hAnsi="Calibri" w:cs="Times New Roman"/>
      <w:kern w:val="0"/>
      <w:sz w:val="22"/>
      <w:szCs w:val="22"/>
      <w14:ligatures w14:val="none"/>
    </w:rPr>
  </w:style>
  <w:style w:type="paragraph" w:styleId="Cmsor1">
    <w:name w:val="heading 1"/>
    <w:basedOn w:val="Norml"/>
    <w:next w:val="Norml"/>
    <w:link w:val="Cmsor1Char"/>
    <w:uiPriority w:val="9"/>
    <w:qFormat/>
    <w:rsid w:val="0078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8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86FB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86FB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nhideWhenUsed/>
    <w:qFormat/>
    <w:rsid w:val="00786FB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86FB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86FB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86FB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86FB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86FB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86FB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86FB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86FB3"/>
    <w:rPr>
      <w:rFonts w:eastAsiaTheme="majorEastAsia" w:cstheme="majorBidi"/>
      <w:i/>
      <w:iCs/>
      <w:color w:val="0F4761" w:themeColor="accent1" w:themeShade="BF"/>
    </w:rPr>
  </w:style>
  <w:style w:type="character" w:customStyle="1" w:styleId="Cmsor5Char">
    <w:name w:val="Címsor 5 Char"/>
    <w:basedOn w:val="Bekezdsalapbettpusa"/>
    <w:link w:val="Cmsor5"/>
    <w:rsid w:val="00786FB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86FB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86FB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86FB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86FB3"/>
    <w:rPr>
      <w:rFonts w:eastAsiaTheme="majorEastAsia" w:cstheme="majorBidi"/>
      <w:color w:val="272727" w:themeColor="text1" w:themeTint="D8"/>
    </w:rPr>
  </w:style>
  <w:style w:type="paragraph" w:styleId="Cm">
    <w:name w:val="Title"/>
    <w:basedOn w:val="Norml"/>
    <w:next w:val="Norml"/>
    <w:link w:val="CmChar"/>
    <w:uiPriority w:val="10"/>
    <w:qFormat/>
    <w:rsid w:val="0078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86FB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86FB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86FB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86FB3"/>
    <w:pPr>
      <w:spacing w:before="160"/>
      <w:jc w:val="center"/>
    </w:pPr>
    <w:rPr>
      <w:i/>
      <w:iCs/>
      <w:color w:val="404040" w:themeColor="text1" w:themeTint="BF"/>
    </w:rPr>
  </w:style>
  <w:style w:type="character" w:customStyle="1" w:styleId="IdzetChar">
    <w:name w:val="Idézet Char"/>
    <w:basedOn w:val="Bekezdsalapbettpusa"/>
    <w:link w:val="Idzet"/>
    <w:uiPriority w:val="29"/>
    <w:rsid w:val="00786FB3"/>
    <w:rPr>
      <w:i/>
      <w:iCs/>
      <w:color w:val="404040" w:themeColor="text1" w:themeTint="BF"/>
    </w:rPr>
  </w:style>
  <w:style w:type="paragraph" w:styleId="Listaszerbekezds">
    <w:name w:val="List Paragraph"/>
    <w:basedOn w:val="Norml"/>
    <w:uiPriority w:val="34"/>
    <w:qFormat/>
    <w:rsid w:val="00786FB3"/>
    <w:pPr>
      <w:ind w:left="720"/>
      <w:contextualSpacing/>
    </w:pPr>
  </w:style>
  <w:style w:type="character" w:styleId="Erskiemels">
    <w:name w:val="Intense Emphasis"/>
    <w:basedOn w:val="Bekezdsalapbettpusa"/>
    <w:uiPriority w:val="21"/>
    <w:qFormat/>
    <w:rsid w:val="00786FB3"/>
    <w:rPr>
      <w:i/>
      <w:iCs/>
      <w:color w:val="0F4761" w:themeColor="accent1" w:themeShade="BF"/>
    </w:rPr>
  </w:style>
  <w:style w:type="paragraph" w:styleId="Kiemeltidzet">
    <w:name w:val="Intense Quote"/>
    <w:basedOn w:val="Norml"/>
    <w:next w:val="Norml"/>
    <w:link w:val="KiemeltidzetChar"/>
    <w:uiPriority w:val="30"/>
    <w:qFormat/>
    <w:rsid w:val="0078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86FB3"/>
    <w:rPr>
      <w:i/>
      <w:iCs/>
      <w:color w:val="0F4761" w:themeColor="accent1" w:themeShade="BF"/>
    </w:rPr>
  </w:style>
  <w:style w:type="character" w:styleId="Ershivatkozs">
    <w:name w:val="Intense Reference"/>
    <w:basedOn w:val="Bekezdsalapbettpusa"/>
    <w:uiPriority w:val="32"/>
    <w:qFormat/>
    <w:rsid w:val="00786FB3"/>
    <w:rPr>
      <w:b/>
      <w:bCs/>
      <w:smallCaps/>
      <w:color w:val="0F4761" w:themeColor="accent1" w:themeShade="BF"/>
      <w:spacing w:val="5"/>
    </w:rPr>
  </w:style>
  <w:style w:type="character" w:styleId="Hiperhivatkozs">
    <w:name w:val="Hyperlink"/>
    <w:uiPriority w:val="99"/>
    <w:unhideWhenUsed/>
    <w:rsid w:val="00786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online-uegyinditas.html" TargetMode="Externa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mailto:ertekesites@mahartpassnave.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2283</Words>
  <Characters>15760</Characters>
  <Application>Microsoft Office Word</Application>
  <DocSecurity>0</DocSecurity>
  <Lines>131</Lines>
  <Paragraphs>36</Paragraphs>
  <ScaleCrop>false</ScaleCrop>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Szórád-Czakó Erzsébet</dc:creator>
  <cp:keywords/>
  <dc:description/>
  <cp:lastModifiedBy>Szórád-Czakó Erzsébet</cp:lastModifiedBy>
  <cp:revision>1</cp:revision>
  <dcterms:created xsi:type="dcterms:W3CDTF">2025-11-27T09:24:00Z</dcterms:created>
  <dcterms:modified xsi:type="dcterms:W3CDTF">2025-11-27T09:26:00Z</dcterms:modified>
</cp:coreProperties>
</file>